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99A7" w14:textId="7A307699" w:rsidR="0040000C" w:rsidRPr="00BF4B4E" w:rsidRDefault="00783E8F" w:rsidP="0040000C">
      <w:pPr>
        <w:pStyle w:val="Default"/>
        <w:rPr>
          <w:rFonts w:asciiTheme="minorHAnsi" w:hAnsiTheme="minorHAnsi" w:cstheme="minorHAnsi"/>
          <w:b/>
          <w:bCs/>
          <w:color w:val="2E74B5" w:themeColor="accent1" w:themeShade="BF"/>
          <w:sz w:val="40"/>
          <w:szCs w:val="40"/>
          <w:lang w:val="en-GB"/>
        </w:rPr>
      </w:pPr>
      <w:r w:rsidRPr="00BF4B4E">
        <w:rPr>
          <w:rFonts w:ascii="Gadugi" w:hAnsi="Gadugi" w:cs="Calibri"/>
          <w:noProof/>
          <w:color w:val="1F4E79" w:themeColor="accent1" w:themeShade="80"/>
          <w:sz w:val="32"/>
          <w:szCs w:val="32"/>
          <w:lang w:val="en-GB" w:eastAsia="en-IE"/>
        </w:rPr>
        <w:drawing>
          <wp:anchor distT="0" distB="0" distL="114300" distR="114300" simplePos="0" relativeHeight="251692032" behindDoc="1" locked="0" layoutInCell="1" allowOverlap="1" wp14:anchorId="061F8882" wp14:editId="3042C86A">
            <wp:simplePos x="0" y="0"/>
            <wp:positionH relativeFrom="page">
              <wp:align>left</wp:align>
            </wp:positionH>
            <wp:positionV relativeFrom="paragraph">
              <wp:posOffset>200025</wp:posOffset>
            </wp:positionV>
            <wp:extent cx="7596505" cy="9522460"/>
            <wp:effectExtent l="0" t="0" r="4445" b="2540"/>
            <wp:wrapNone/>
            <wp:docPr id="32" name="Imagem 32" descr="\\DADOSEST\AreasPessoais\Carla Guimaraes\U_ATLANTIC AREA 2021-2027\=COMMUNICATION\BRAND\FUNDO\Fundo 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OSEST\AreasPessoais\Carla Guimaraes\U_ATLANTIC AREA 2021-2027\=COMMUNICATION\BRAND\FUNDO\Fundo A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6505" cy="9522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2990EE" w14:textId="6C6C9B02" w:rsidR="0040000C" w:rsidRPr="00BF4B4E" w:rsidRDefault="0040000C" w:rsidP="0040000C">
      <w:pPr>
        <w:pStyle w:val="Default"/>
        <w:rPr>
          <w:rFonts w:asciiTheme="minorHAnsi" w:hAnsiTheme="minorHAnsi" w:cstheme="minorHAnsi"/>
          <w:b/>
          <w:bCs/>
          <w:color w:val="2E74B5" w:themeColor="accent1" w:themeShade="BF"/>
          <w:sz w:val="40"/>
          <w:szCs w:val="40"/>
          <w:lang w:val="en-GB"/>
        </w:rPr>
      </w:pPr>
    </w:p>
    <w:p w14:paraId="63A9DE90" w14:textId="5F63B3DF" w:rsidR="0040000C" w:rsidRPr="00BF4B4E" w:rsidRDefault="0040000C" w:rsidP="0040000C">
      <w:pPr>
        <w:pStyle w:val="Default"/>
        <w:rPr>
          <w:lang w:val="en-GB"/>
        </w:rPr>
      </w:pPr>
    </w:p>
    <w:p w14:paraId="620AC15A" w14:textId="5637B714" w:rsidR="0040000C" w:rsidRPr="00BF4B4E" w:rsidRDefault="0040000C" w:rsidP="0040000C">
      <w:pPr>
        <w:pStyle w:val="Default"/>
        <w:rPr>
          <w:rFonts w:asciiTheme="minorHAnsi" w:hAnsiTheme="minorHAnsi" w:cstheme="minorHAnsi"/>
          <w:b/>
          <w:bCs/>
          <w:color w:val="2E74B5" w:themeColor="accent1" w:themeShade="BF"/>
          <w:sz w:val="40"/>
          <w:szCs w:val="40"/>
          <w:lang w:val="en-GB"/>
        </w:rPr>
      </w:pPr>
    </w:p>
    <w:p w14:paraId="17C72E0F" w14:textId="4B3B028B" w:rsidR="00BF0466" w:rsidRPr="00BF4B4E" w:rsidRDefault="00BF0466" w:rsidP="009576AE">
      <w:pPr>
        <w:pStyle w:val="Default"/>
        <w:rPr>
          <w:rFonts w:ascii="Gadugi" w:hAnsi="Gadugi" w:cs="Open Sans"/>
          <w:color w:val="1F4E79" w:themeColor="accent1" w:themeShade="80"/>
          <w:sz w:val="48"/>
          <w:szCs w:val="64"/>
          <w:lang w:val="en-GB"/>
        </w:rPr>
      </w:pPr>
      <w:r w:rsidRPr="00BF4B4E">
        <w:rPr>
          <w:rFonts w:ascii="Gadugi" w:hAnsi="Gadugi" w:cs="Open Sans"/>
          <w:color w:val="1F4E79" w:themeColor="accent1" w:themeShade="80"/>
          <w:sz w:val="48"/>
          <w:szCs w:val="64"/>
          <w:lang w:val="en-GB"/>
        </w:rPr>
        <w:t>INTERREG ATLANTIC AREA 2021-2027</w:t>
      </w:r>
    </w:p>
    <w:p w14:paraId="3269C632" w14:textId="77777777" w:rsidR="00982D12" w:rsidRPr="00BF4B4E" w:rsidRDefault="00982D12" w:rsidP="009576AE">
      <w:pPr>
        <w:pStyle w:val="Default"/>
        <w:rPr>
          <w:rFonts w:ascii="Gadugi" w:hAnsi="Gadugi" w:cs="Open Sans"/>
          <w:color w:val="0070C0"/>
          <w:sz w:val="52"/>
          <w:szCs w:val="64"/>
          <w:lang w:val="en-GB"/>
        </w:rPr>
      </w:pPr>
    </w:p>
    <w:p w14:paraId="55896D7A" w14:textId="77777777" w:rsidR="008430B1" w:rsidRPr="00BF4B4E" w:rsidRDefault="008430B1" w:rsidP="008430B1">
      <w:pPr>
        <w:jc w:val="center"/>
        <w:rPr>
          <w:rFonts w:ascii="Gadugi" w:hAnsi="Gadugi" w:cs="Open Sans"/>
          <w:color w:val="0070C0"/>
          <w:sz w:val="28"/>
          <w:szCs w:val="28"/>
        </w:rPr>
      </w:pPr>
      <w:r w:rsidRPr="00BF4B4E">
        <w:rPr>
          <w:rFonts w:ascii="Gadugi" w:hAnsi="Gadugi" w:cs="Open Sans"/>
          <w:color w:val="0070C0"/>
          <w:sz w:val="28"/>
          <w:szCs w:val="28"/>
        </w:rPr>
        <w:t>WRITTEN AGREEMENT CONCERNING THE PARTICIPATION</w:t>
      </w:r>
    </w:p>
    <w:p w14:paraId="1439B565" w14:textId="77777777" w:rsidR="008430B1" w:rsidRPr="00BF4B4E" w:rsidRDefault="008430B1" w:rsidP="008430B1">
      <w:pPr>
        <w:jc w:val="center"/>
        <w:rPr>
          <w:rFonts w:ascii="Gadugi" w:hAnsi="Gadugi" w:cs="Open Sans"/>
          <w:color w:val="0070C0"/>
          <w:sz w:val="28"/>
          <w:szCs w:val="28"/>
        </w:rPr>
      </w:pPr>
      <w:r w:rsidRPr="00BF4B4E">
        <w:rPr>
          <w:rFonts w:ascii="Gadugi" w:hAnsi="Gadugi" w:cs="Open Sans"/>
          <w:color w:val="0070C0"/>
          <w:sz w:val="28"/>
          <w:szCs w:val="28"/>
        </w:rPr>
        <w:t xml:space="preserve">OF ORGANIZATIONS FROM COUNTRIES LOCATED OUTSIDE THE ELIGIBLE AREA </w:t>
      </w:r>
    </w:p>
    <w:p w14:paraId="052E1FDF" w14:textId="77777777" w:rsidR="008430B1" w:rsidRPr="00BF4B4E" w:rsidRDefault="008430B1" w:rsidP="00783E8F">
      <w:pPr>
        <w:pStyle w:val="Default"/>
        <w:rPr>
          <w:rFonts w:ascii="Gadugi" w:hAnsi="Gadugi" w:cs="Calibri"/>
          <w:color w:val="1F3864" w:themeColor="accent5" w:themeShade="80"/>
          <w:sz w:val="28"/>
          <w:szCs w:val="28"/>
          <w:lang w:val="en-GB"/>
        </w:rPr>
      </w:pPr>
    </w:p>
    <w:p w14:paraId="5DF32A22" w14:textId="77777777" w:rsidR="004236C6" w:rsidRPr="00BF4B4E" w:rsidRDefault="004236C6" w:rsidP="004236C6">
      <w:pPr>
        <w:tabs>
          <w:tab w:val="left" w:pos="0"/>
        </w:tabs>
        <w:autoSpaceDE w:val="0"/>
        <w:autoSpaceDN w:val="0"/>
        <w:adjustRightInd w:val="0"/>
        <w:spacing w:after="0" w:line="240" w:lineRule="auto"/>
        <w:rPr>
          <w:rFonts w:ascii="Gadugi" w:hAnsi="Gadugi" w:cs="Calibri"/>
          <w:color w:val="1F3864" w:themeColor="accent5" w:themeShade="80"/>
          <w:sz w:val="28"/>
          <w:szCs w:val="28"/>
        </w:rPr>
      </w:pPr>
    </w:p>
    <w:p w14:paraId="0DFC8062" w14:textId="241258A3" w:rsidR="00BF0466" w:rsidRPr="00BF4B4E" w:rsidRDefault="004236C6" w:rsidP="004F3A3F">
      <w:pPr>
        <w:tabs>
          <w:tab w:val="left" w:pos="0"/>
          <w:tab w:val="left" w:pos="5460"/>
        </w:tabs>
        <w:autoSpaceDE w:val="0"/>
        <w:autoSpaceDN w:val="0"/>
        <w:adjustRightInd w:val="0"/>
        <w:spacing w:after="0" w:line="240" w:lineRule="auto"/>
        <w:rPr>
          <w:rFonts w:ascii="Gadugi" w:hAnsi="Gadugi" w:cs="Calibri"/>
          <w:color w:val="1F4E79" w:themeColor="accent1" w:themeShade="80"/>
          <w:sz w:val="28"/>
          <w:szCs w:val="28"/>
        </w:rPr>
      </w:pPr>
      <w:r w:rsidRPr="00BF4B4E">
        <w:rPr>
          <w:rFonts w:ascii="Gadugi" w:hAnsi="Gadugi" w:cs="Calibri"/>
          <w:color w:val="1F3864" w:themeColor="accent5" w:themeShade="80"/>
          <w:sz w:val="28"/>
          <w:szCs w:val="28"/>
        </w:rPr>
        <w:t>V1</w:t>
      </w:r>
      <w:r w:rsidR="00FE266F" w:rsidRPr="00BF4B4E">
        <w:rPr>
          <w:rFonts w:ascii="Gadugi" w:hAnsi="Gadugi" w:cs="Calibri"/>
          <w:color w:val="1F3864" w:themeColor="accent5" w:themeShade="80"/>
          <w:sz w:val="28"/>
          <w:szCs w:val="28"/>
        </w:rPr>
        <w:t xml:space="preserve">. </w:t>
      </w:r>
      <w:r w:rsidR="008430B1" w:rsidRPr="00BF4B4E">
        <w:rPr>
          <w:rFonts w:ascii="Gadugi" w:hAnsi="Gadugi" w:cs="Calibri"/>
          <w:color w:val="1F3864" w:themeColor="accent5" w:themeShade="80"/>
          <w:sz w:val="28"/>
          <w:szCs w:val="28"/>
        </w:rPr>
        <w:t>August</w:t>
      </w:r>
      <w:r w:rsidR="00D5573A" w:rsidRPr="00BF4B4E">
        <w:rPr>
          <w:rFonts w:ascii="Gadugi" w:hAnsi="Gadugi" w:cs="Calibri"/>
          <w:color w:val="1F3864" w:themeColor="accent5" w:themeShade="80"/>
          <w:sz w:val="28"/>
          <w:szCs w:val="28"/>
        </w:rPr>
        <w:t xml:space="preserve"> </w:t>
      </w:r>
      <w:r w:rsidR="00D5573A" w:rsidRPr="00BF4B4E">
        <w:rPr>
          <w:rFonts w:ascii="Gadugi" w:hAnsi="Gadugi" w:cs="Calibri"/>
          <w:color w:val="1F4E79" w:themeColor="accent1" w:themeShade="80"/>
          <w:sz w:val="28"/>
          <w:szCs w:val="28"/>
        </w:rPr>
        <w:t>2023</w:t>
      </w:r>
      <w:r w:rsidR="00E31BB8" w:rsidRPr="00BF4B4E">
        <w:rPr>
          <w:rFonts w:ascii="Gadugi" w:hAnsi="Gadugi" w:cs="Calibri"/>
          <w:color w:val="1F4E79" w:themeColor="accent1" w:themeShade="80"/>
          <w:sz w:val="28"/>
          <w:szCs w:val="28"/>
        </w:rPr>
        <w:tab/>
      </w:r>
    </w:p>
    <w:p w14:paraId="47DE7BDC" w14:textId="77777777" w:rsidR="009576AE" w:rsidRPr="00BF4B4E" w:rsidRDefault="009576AE" w:rsidP="009576AE">
      <w:pPr>
        <w:tabs>
          <w:tab w:val="left" w:pos="0"/>
        </w:tabs>
        <w:autoSpaceDE w:val="0"/>
        <w:autoSpaceDN w:val="0"/>
        <w:adjustRightInd w:val="0"/>
        <w:spacing w:after="0" w:line="240" w:lineRule="auto"/>
        <w:rPr>
          <w:rFonts w:ascii="Gadugi" w:hAnsi="Gadugi" w:cs="Calibri"/>
          <w:color w:val="1F4E79" w:themeColor="accent1" w:themeShade="80"/>
          <w:sz w:val="28"/>
          <w:szCs w:val="28"/>
        </w:rPr>
      </w:pPr>
    </w:p>
    <w:p w14:paraId="759A595B" w14:textId="77777777" w:rsidR="009576AE" w:rsidRPr="00BF4B4E" w:rsidRDefault="00BF0466" w:rsidP="009576AE">
      <w:pPr>
        <w:tabs>
          <w:tab w:val="left" w:pos="0"/>
        </w:tabs>
        <w:autoSpaceDE w:val="0"/>
        <w:autoSpaceDN w:val="0"/>
        <w:adjustRightInd w:val="0"/>
        <w:snapToGrid w:val="0"/>
        <w:spacing w:after="0" w:line="240" w:lineRule="auto"/>
        <w:rPr>
          <w:rFonts w:ascii="Gadugi" w:hAnsi="Gadugi" w:cs="Calibri"/>
          <w:color w:val="1F3864" w:themeColor="accent5" w:themeShade="80"/>
        </w:rPr>
      </w:pPr>
      <w:r w:rsidRPr="00BF4B4E">
        <w:rPr>
          <w:rFonts w:ascii="Gadugi" w:hAnsi="Gadugi" w:cs="Calibri"/>
          <w:color w:val="1F3864" w:themeColor="accent5" w:themeShade="80"/>
        </w:rPr>
        <w:t xml:space="preserve"> </w:t>
      </w:r>
    </w:p>
    <w:p w14:paraId="15010060" w14:textId="77777777" w:rsidR="009576AE" w:rsidRPr="00BF4B4E" w:rsidRDefault="009576AE" w:rsidP="009576AE">
      <w:pPr>
        <w:tabs>
          <w:tab w:val="left" w:pos="0"/>
        </w:tabs>
        <w:autoSpaceDE w:val="0"/>
        <w:autoSpaceDN w:val="0"/>
        <w:adjustRightInd w:val="0"/>
        <w:snapToGrid w:val="0"/>
        <w:spacing w:after="0" w:line="240" w:lineRule="auto"/>
        <w:rPr>
          <w:rFonts w:ascii="Gadugi" w:hAnsi="Gadugi" w:cs="Calibri"/>
          <w:color w:val="1F3864" w:themeColor="accent5" w:themeShade="80"/>
        </w:rPr>
      </w:pPr>
    </w:p>
    <w:p w14:paraId="62780FFB" w14:textId="77777777" w:rsidR="009576AE" w:rsidRPr="00BF4B4E" w:rsidRDefault="009576AE" w:rsidP="009576AE">
      <w:pPr>
        <w:tabs>
          <w:tab w:val="left" w:pos="0"/>
        </w:tabs>
        <w:autoSpaceDE w:val="0"/>
        <w:autoSpaceDN w:val="0"/>
        <w:adjustRightInd w:val="0"/>
        <w:snapToGrid w:val="0"/>
        <w:spacing w:after="0" w:line="240" w:lineRule="auto"/>
        <w:rPr>
          <w:rFonts w:ascii="Gadugi" w:hAnsi="Gadugi" w:cs="Calibri"/>
          <w:color w:val="1F3864" w:themeColor="accent5" w:themeShade="80"/>
        </w:rPr>
      </w:pPr>
    </w:p>
    <w:p w14:paraId="462FD953" w14:textId="77777777" w:rsidR="00B1665A" w:rsidRPr="00BF4B4E" w:rsidRDefault="00B1665A" w:rsidP="009576AE">
      <w:pPr>
        <w:tabs>
          <w:tab w:val="left" w:pos="0"/>
        </w:tabs>
        <w:autoSpaceDE w:val="0"/>
        <w:autoSpaceDN w:val="0"/>
        <w:adjustRightInd w:val="0"/>
        <w:snapToGrid w:val="0"/>
        <w:spacing w:after="0" w:line="240" w:lineRule="auto"/>
        <w:rPr>
          <w:rFonts w:ascii="Gadugi" w:hAnsi="Gadugi" w:cs="Calibri"/>
          <w:color w:val="1F3864" w:themeColor="accent5" w:themeShade="80"/>
          <w:sz w:val="24"/>
          <w:szCs w:val="24"/>
        </w:rPr>
      </w:pPr>
    </w:p>
    <w:p w14:paraId="6B2CC991" w14:textId="144BC22B" w:rsidR="00BF0466" w:rsidRPr="00BF4B4E" w:rsidRDefault="00BF0466" w:rsidP="009576AE">
      <w:pPr>
        <w:tabs>
          <w:tab w:val="left" w:pos="0"/>
        </w:tabs>
        <w:snapToGrid w:val="0"/>
        <w:spacing w:after="0" w:line="240" w:lineRule="auto"/>
        <w:rPr>
          <w:rFonts w:ascii="Gadugi" w:hAnsi="Gadugi" w:cs="Calibri"/>
          <w:color w:val="1F3864" w:themeColor="accent5" w:themeShade="80"/>
          <w:sz w:val="24"/>
          <w:szCs w:val="24"/>
        </w:rPr>
      </w:pPr>
    </w:p>
    <w:p w14:paraId="303DA009" w14:textId="77777777" w:rsidR="00BF0466" w:rsidRPr="00BF4B4E" w:rsidRDefault="00BF0466" w:rsidP="00BF0466">
      <w:pPr>
        <w:rPr>
          <w:rFonts w:ascii="Gadugi" w:hAnsi="Gadugi" w:cs="Calibri"/>
          <w:b/>
          <w:color w:val="1F3864" w:themeColor="accent5" w:themeShade="80"/>
          <w:sz w:val="24"/>
          <w:szCs w:val="24"/>
        </w:rPr>
      </w:pPr>
    </w:p>
    <w:p w14:paraId="57338662" w14:textId="77777777" w:rsidR="009576AE" w:rsidRPr="00BF4B4E" w:rsidRDefault="009576AE" w:rsidP="00BF0466">
      <w:pPr>
        <w:rPr>
          <w:rFonts w:ascii="Gadugi" w:hAnsi="Gadugi" w:cs="Calibri"/>
          <w:b/>
          <w:color w:val="1F3864" w:themeColor="accent5" w:themeShade="80"/>
          <w:sz w:val="24"/>
          <w:szCs w:val="24"/>
        </w:rPr>
      </w:pPr>
    </w:p>
    <w:p w14:paraId="6EB741DA" w14:textId="77777777" w:rsidR="009576AE" w:rsidRPr="00BF4B4E" w:rsidRDefault="009576AE" w:rsidP="00BF0466">
      <w:pPr>
        <w:rPr>
          <w:rFonts w:ascii="Gadugi" w:hAnsi="Gadugi" w:cs="Calibri"/>
          <w:b/>
          <w:color w:val="FFFFFF" w:themeColor="background1"/>
          <w:sz w:val="24"/>
          <w:szCs w:val="24"/>
        </w:rPr>
      </w:pPr>
    </w:p>
    <w:p w14:paraId="076649C0" w14:textId="77777777" w:rsidR="009576AE" w:rsidRPr="00BF4B4E" w:rsidRDefault="009576AE" w:rsidP="00BF0466">
      <w:pPr>
        <w:rPr>
          <w:rFonts w:ascii="Gadugi" w:hAnsi="Gadugi" w:cs="Calibri"/>
          <w:b/>
          <w:color w:val="FFFFFF" w:themeColor="background1"/>
          <w:sz w:val="24"/>
          <w:szCs w:val="24"/>
        </w:rPr>
      </w:pPr>
    </w:p>
    <w:p w14:paraId="7A280078" w14:textId="77777777" w:rsidR="009576AE" w:rsidRPr="00BF4B4E" w:rsidRDefault="009576AE" w:rsidP="00BF0466">
      <w:pPr>
        <w:rPr>
          <w:rFonts w:ascii="Gadugi" w:hAnsi="Gadugi" w:cs="Calibri"/>
          <w:b/>
          <w:color w:val="FFFFFF" w:themeColor="background1"/>
          <w:sz w:val="24"/>
          <w:szCs w:val="24"/>
        </w:rPr>
      </w:pPr>
    </w:p>
    <w:p w14:paraId="6BA704DC" w14:textId="77777777" w:rsidR="009576AE" w:rsidRPr="00BF4B4E" w:rsidRDefault="009576AE" w:rsidP="00BF0466">
      <w:pPr>
        <w:rPr>
          <w:rFonts w:ascii="Gadugi" w:hAnsi="Gadugi" w:cs="Calibri"/>
          <w:b/>
          <w:color w:val="FFFFFF" w:themeColor="background1"/>
          <w:sz w:val="24"/>
          <w:szCs w:val="24"/>
        </w:rPr>
      </w:pPr>
    </w:p>
    <w:p w14:paraId="01726323" w14:textId="77777777" w:rsidR="009576AE" w:rsidRPr="00BF4B4E" w:rsidRDefault="009576AE" w:rsidP="00BF0466">
      <w:pPr>
        <w:rPr>
          <w:rFonts w:ascii="Gadugi" w:hAnsi="Gadugi" w:cs="Calibri"/>
          <w:b/>
          <w:color w:val="FFFFFF" w:themeColor="background1"/>
          <w:sz w:val="24"/>
          <w:szCs w:val="24"/>
        </w:rPr>
      </w:pPr>
    </w:p>
    <w:p w14:paraId="08250504" w14:textId="77777777" w:rsidR="00804C83" w:rsidRPr="00BF4B4E" w:rsidRDefault="00804C83" w:rsidP="00BF0466">
      <w:pPr>
        <w:rPr>
          <w:rFonts w:ascii="Gadugi" w:hAnsi="Gadugi" w:cs="Calibri"/>
          <w:b/>
          <w:color w:val="0070C0"/>
          <w:sz w:val="28"/>
          <w:szCs w:val="28"/>
        </w:rPr>
      </w:pPr>
    </w:p>
    <w:p w14:paraId="27CA790C" w14:textId="77777777" w:rsidR="009576AE" w:rsidRPr="00BF4B4E" w:rsidRDefault="009576AE" w:rsidP="0040000C">
      <w:pPr>
        <w:pStyle w:val="Default"/>
        <w:rPr>
          <w:rFonts w:asciiTheme="minorHAnsi" w:hAnsiTheme="minorHAnsi" w:cstheme="minorHAnsi"/>
          <w:b/>
          <w:bCs/>
          <w:color w:val="2E74B5" w:themeColor="accent1" w:themeShade="BF"/>
          <w:sz w:val="40"/>
          <w:szCs w:val="40"/>
          <w:lang w:val="en-GB"/>
        </w:rPr>
      </w:pPr>
    </w:p>
    <w:p w14:paraId="1D929B80" w14:textId="77777777" w:rsidR="009576AE" w:rsidRPr="00BF4B4E" w:rsidRDefault="009576AE" w:rsidP="0040000C">
      <w:pPr>
        <w:pStyle w:val="Default"/>
        <w:rPr>
          <w:rFonts w:asciiTheme="minorHAnsi" w:hAnsiTheme="minorHAnsi" w:cstheme="minorHAnsi"/>
          <w:b/>
          <w:bCs/>
          <w:color w:val="2E74B5" w:themeColor="accent1" w:themeShade="BF"/>
          <w:sz w:val="40"/>
          <w:szCs w:val="40"/>
          <w:lang w:val="en-GB"/>
        </w:rPr>
      </w:pPr>
    </w:p>
    <w:p w14:paraId="1C6444AF" w14:textId="77777777" w:rsidR="009576AE" w:rsidRPr="00BF4B4E" w:rsidRDefault="009576AE" w:rsidP="0040000C">
      <w:pPr>
        <w:pStyle w:val="Default"/>
        <w:rPr>
          <w:rFonts w:asciiTheme="minorHAnsi" w:hAnsiTheme="minorHAnsi" w:cstheme="minorHAnsi"/>
          <w:b/>
          <w:bCs/>
          <w:color w:val="2E74B5" w:themeColor="accent1" w:themeShade="BF"/>
          <w:sz w:val="40"/>
          <w:szCs w:val="40"/>
          <w:lang w:val="en-GB"/>
        </w:rPr>
      </w:pPr>
    </w:p>
    <w:p w14:paraId="24A5D19E" w14:textId="51751A92" w:rsidR="00861EE3" w:rsidRPr="00BF4B4E" w:rsidRDefault="00861EE3" w:rsidP="00861EE3">
      <w:pPr>
        <w:jc w:val="both"/>
        <w:rPr>
          <w:rFonts w:cs="Arial"/>
          <w:color w:val="1F3864"/>
        </w:rPr>
      </w:pPr>
      <w:r w:rsidRPr="00BF4B4E">
        <w:rPr>
          <w:rFonts w:cs="Arial"/>
          <w:color w:val="1F3864"/>
        </w:rPr>
        <w:t xml:space="preserve">The Atlantic Area Programme supports cooperation between project partners located outside the programme eligible area as established in Article </w:t>
      </w:r>
      <w:r w:rsidR="00622C54" w:rsidRPr="00BF4B4E">
        <w:rPr>
          <w:rFonts w:cs="Arial"/>
          <w:color w:val="1F3864"/>
        </w:rPr>
        <w:t>63</w:t>
      </w:r>
      <w:r w:rsidRPr="00BF4B4E">
        <w:rPr>
          <w:rFonts w:cs="Arial"/>
          <w:color w:val="1F3864"/>
        </w:rPr>
        <w:t>.</w:t>
      </w:r>
      <w:r w:rsidR="00622C54" w:rsidRPr="00BF4B4E">
        <w:rPr>
          <w:rFonts w:cs="Arial"/>
          <w:color w:val="1F3864"/>
        </w:rPr>
        <w:t xml:space="preserve">4 </w:t>
      </w:r>
      <w:r w:rsidRPr="00BF4B4E">
        <w:rPr>
          <w:rFonts w:cs="Arial"/>
          <w:color w:val="1F3864"/>
        </w:rPr>
        <w:t xml:space="preserve">of Regulation (EU) No </w:t>
      </w:r>
      <w:r w:rsidR="00622C54" w:rsidRPr="00BF4B4E">
        <w:rPr>
          <w:rFonts w:cs="Arial"/>
          <w:color w:val="1F3864"/>
        </w:rPr>
        <w:t>2021</w:t>
      </w:r>
      <w:r w:rsidRPr="00BF4B4E">
        <w:rPr>
          <w:rFonts w:cs="Arial"/>
          <w:color w:val="1F3864"/>
        </w:rPr>
        <w:t>/</w:t>
      </w:r>
      <w:r w:rsidR="00622C54" w:rsidRPr="00BF4B4E">
        <w:rPr>
          <w:rFonts w:cs="Arial"/>
          <w:color w:val="1F3864"/>
        </w:rPr>
        <w:t>1060 and Article 63.4 of Regulation (EU) No 2021/1059</w:t>
      </w:r>
      <w:r w:rsidR="00443391" w:rsidRPr="00BF4B4E">
        <w:rPr>
          <w:rFonts w:cs="Arial"/>
          <w:color w:val="1F3864"/>
        </w:rPr>
        <w:t>. As the last number states: “All or part of an Interreg operation may be implemented outside of a Member State, including outside the Union, provided that the Interreg operation contributes to the objectives of the respective Interreg programme”.</w:t>
      </w:r>
    </w:p>
    <w:p w14:paraId="704370BA" w14:textId="3194C3F8" w:rsidR="00861EE3" w:rsidRPr="00BF4B4E" w:rsidRDefault="00861EE3" w:rsidP="00861EE3">
      <w:pPr>
        <w:jc w:val="both"/>
        <w:rPr>
          <w:rFonts w:cs="Arial"/>
          <w:color w:val="1F3864"/>
        </w:rPr>
      </w:pPr>
      <w:r w:rsidRPr="00BF4B4E">
        <w:rPr>
          <w:rFonts w:cs="Arial"/>
          <w:color w:val="1F3864"/>
        </w:rPr>
        <w:lastRenderedPageBreak/>
        <w:t>The Managing Authority (MA)</w:t>
      </w:r>
      <w:r w:rsidR="0055267E" w:rsidRPr="00BF4B4E">
        <w:rPr>
          <w:rFonts w:cs="Arial"/>
          <w:color w:val="1F3864"/>
        </w:rPr>
        <w:t>, with the support of the Joint Secretariat,</w:t>
      </w:r>
      <w:r w:rsidRPr="00BF4B4E">
        <w:rPr>
          <w:rFonts w:cs="Arial"/>
          <w:color w:val="1F3864"/>
        </w:rPr>
        <w:t xml:space="preserve"> is responsible for drafting, </w:t>
      </w:r>
      <w:proofErr w:type="gramStart"/>
      <w:r w:rsidRPr="00BF4B4E">
        <w:rPr>
          <w:rFonts w:cs="Arial"/>
          <w:color w:val="1F3864"/>
        </w:rPr>
        <w:t>approving</w:t>
      </w:r>
      <w:proofErr w:type="gramEnd"/>
      <w:r w:rsidRPr="00BF4B4E">
        <w:rPr>
          <w:rFonts w:cs="Arial"/>
          <w:color w:val="1F3864"/>
        </w:rPr>
        <w:t xml:space="preserve"> and obtaining the relevant signatures of this agreement, which must happen prior to the Subsidy Contract signature with the Lead Partner (LP). </w:t>
      </w:r>
    </w:p>
    <w:p w14:paraId="5EF0BCCE" w14:textId="77777777" w:rsidR="00861EE3" w:rsidRPr="00BF4B4E" w:rsidRDefault="00861EE3" w:rsidP="00861EE3">
      <w:pPr>
        <w:jc w:val="both"/>
        <w:rPr>
          <w:rFonts w:cs="Arial"/>
          <w:color w:val="1F3864"/>
        </w:rPr>
      </w:pPr>
      <w:r w:rsidRPr="00BF4B4E">
        <w:rPr>
          <w:rFonts w:cs="Arial"/>
          <w:color w:val="1F3864"/>
        </w:rPr>
        <w:t>Should the activities to be carried out by partners (PP) located in a Member State outside the Programme area be considered as state aid relevant, the participation of these partners will not be allowed due to the impossibility for the Programme Monitoring Committee (MC) to validate the result of the state aid assessment on behalf of a Member States (MS) not participating in the Programme.</w:t>
      </w:r>
    </w:p>
    <w:p w14:paraId="05B45E25" w14:textId="66438607" w:rsidR="00861EE3" w:rsidRPr="00BF4B4E" w:rsidRDefault="00861EE3" w:rsidP="00861EE3">
      <w:pPr>
        <w:jc w:val="both"/>
        <w:rPr>
          <w:rFonts w:cs="Arial"/>
          <w:color w:val="1F3864"/>
        </w:rPr>
      </w:pPr>
      <w:r w:rsidRPr="00BF4B4E">
        <w:rPr>
          <w:rFonts w:cs="Arial"/>
          <w:color w:val="1F3864"/>
        </w:rPr>
        <w:t xml:space="preserve">This agreement is established on basis of the rules governing the participation on the Atlantic Area Cooperation Programme by entities located in the </w:t>
      </w:r>
      <w:r w:rsidR="001619B2" w:rsidRPr="00BF4B4E">
        <w:rPr>
          <w:rFonts w:cs="Arial"/>
          <w:color w:val="1F3864"/>
          <w:highlight w:val="yellow"/>
        </w:rPr>
        <w:t>……</w:t>
      </w:r>
      <w:proofErr w:type="gramStart"/>
      <w:r w:rsidR="001619B2" w:rsidRPr="00BF4B4E">
        <w:rPr>
          <w:rFonts w:cs="Arial"/>
          <w:color w:val="1F3864"/>
          <w:highlight w:val="yellow"/>
        </w:rPr>
        <w:t>…..</w:t>
      </w:r>
      <w:proofErr w:type="gramEnd"/>
      <w:r w:rsidRPr="00BF4B4E">
        <w:rPr>
          <w:rFonts w:cs="Arial"/>
          <w:color w:val="1F3864"/>
        </w:rPr>
        <w:t xml:space="preserve"> and ensuring the legality and regularity of co-financed expenditures. </w:t>
      </w:r>
    </w:p>
    <w:p w14:paraId="6ECE5D19" w14:textId="77777777" w:rsidR="00861EE3" w:rsidRPr="00BF4B4E" w:rsidRDefault="00861EE3" w:rsidP="00861EE3">
      <w:pPr>
        <w:rPr>
          <w:rFonts w:cs="Arial"/>
          <w:color w:val="1F3864"/>
        </w:rPr>
      </w:pPr>
      <w:r w:rsidRPr="00BF4B4E">
        <w:rPr>
          <w:rFonts w:cs="Arial"/>
          <w:color w:val="1F3864"/>
        </w:rPr>
        <w:t xml:space="preserve">Between </w:t>
      </w:r>
    </w:p>
    <w:p w14:paraId="27180E39" w14:textId="7366BCCA" w:rsidR="00861EE3" w:rsidRPr="00BF4B4E" w:rsidRDefault="00861EE3" w:rsidP="00861EE3">
      <w:pPr>
        <w:autoSpaceDE w:val="0"/>
        <w:autoSpaceDN w:val="0"/>
        <w:adjustRightInd w:val="0"/>
        <w:spacing w:line="276" w:lineRule="auto"/>
        <w:jc w:val="both"/>
        <w:rPr>
          <w:rFonts w:cs="Arial"/>
          <w:color w:val="1F3864"/>
        </w:rPr>
      </w:pPr>
      <w:proofErr w:type="spellStart"/>
      <w:r w:rsidRPr="00BF4B4E">
        <w:rPr>
          <w:rFonts w:cs="Arial"/>
          <w:color w:val="1F3864"/>
        </w:rPr>
        <w:t>Comissão</w:t>
      </w:r>
      <w:proofErr w:type="spellEnd"/>
      <w:r w:rsidRPr="00BF4B4E">
        <w:rPr>
          <w:rFonts w:cs="Arial"/>
          <w:color w:val="1F3864"/>
        </w:rPr>
        <w:t xml:space="preserve"> de </w:t>
      </w:r>
      <w:proofErr w:type="spellStart"/>
      <w:r w:rsidRPr="00BF4B4E">
        <w:rPr>
          <w:rFonts w:cs="Arial"/>
          <w:color w:val="1F3864"/>
        </w:rPr>
        <w:t>Coordenação</w:t>
      </w:r>
      <w:proofErr w:type="spellEnd"/>
      <w:r w:rsidRPr="00BF4B4E">
        <w:rPr>
          <w:rFonts w:cs="Arial"/>
          <w:color w:val="1F3864"/>
        </w:rPr>
        <w:t xml:space="preserve"> e </w:t>
      </w:r>
      <w:proofErr w:type="spellStart"/>
      <w:r w:rsidRPr="00BF4B4E">
        <w:rPr>
          <w:rFonts w:cs="Arial"/>
          <w:color w:val="1F3864"/>
        </w:rPr>
        <w:t>Desenvolvimento</w:t>
      </w:r>
      <w:proofErr w:type="spellEnd"/>
      <w:r w:rsidRPr="00BF4B4E">
        <w:rPr>
          <w:rFonts w:cs="Arial"/>
          <w:color w:val="1F3864"/>
        </w:rPr>
        <w:t xml:space="preserve"> Regional do Norte</w:t>
      </w:r>
      <w:r w:rsidR="001619B2" w:rsidRPr="00BF4B4E">
        <w:rPr>
          <w:rFonts w:cs="Arial"/>
          <w:color w:val="1F3864"/>
        </w:rPr>
        <w:t xml:space="preserve"> I</w:t>
      </w:r>
      <w:r w:rsidR="0055267E" w:rsidRPr="00BF4B4E">
        <w:rPr>
          <w:rFonts w:cs="Arial"/>
          <w:color w:val="1F3864"/>
        </w:rPr>
        <w:t>.</w:t>
      </w:r>
      <w:r w:rsidR="001619B2" w:rsidRPr="00BF4B4E">
        <w:rPr>
          <w:rFonts w:cs="Arial"/>
          <w:color w:val="1F3864"/>
        </w:rPr>
        <w:t>P</w:t>
      </w:r>
      <w:r w:rsidR="0055267E" w:rsidRPr="00BF4B4E">
        <w:rPr>
          <w:rFonts w:cs="Arial"/>
          <w:color w:val="1F3864"/>
        </w:rPr>
        <w:t>.</w:t>
      </w:r>
      <w:r w:rsidRPr="00BF4B4E">
        <w:rPr>
          <w:rFonts w:cs="Arial"/>
          <w:color w:val="1F3864"/>
        </w:rPr>
        <w:t xml:space="preserve">, acting as Managing Authority (hereinafter “MA”) of the European territorial cooperation programme "Interreg V B Atlantic Area", located in Rua Rainha D. Estefânia 251 – 4150-304, Porto, Portugal, tax identification number 600074404, represented by its President, </w:t>
      </w:r>
    </w:p>
    <w:p w14:paraId="7F6C1E6A" w14:textId="77777777" w:rsidR="00861EE3" w:rsidRPr="00BF4B4E" w:rsidRDefault="00861EE3" w:rsidP="00861EE3">
      <w:pPr>
        <w:autoSpaceDE w:val="0"/>
        <w:autoSpaceDN w:val="0"/>
        <w:adjustRightInd w:val="0"/>
        <w:spacing w:line="276" w:lineRule="auto"/>
        <w:rPr>
          <w:rFonts w:cs="Arial"/>
          <w:color w:val="1F3864" w:themeColor="accent5" w:themeShade="80"/>
        </w:rPr>
      </w:pPr>
      <w:r w:rsidRPr="00BF4B4E">
        <w:rPr>
          <w:rFonts w:cs="Arial"/>
          <w:color w:val="1F3864" w:themeColor="accent5" w:themeShade="80"/>
        </w:rPr>
        <w:t xml:space="preserve">and </w:t>
      </w:r>
    </w:p>
    <w:p w14:paraId="7E8C3C3D" w14:textId="1EF88CA4" w:rsidR="00861EE3" w:rsidRPr="00BF4B4E" w:rsidRDefault="00861EE3" w:rsidP="00861EE3">
      <w:pPr>
        <w:pStyle w:val="Corpodetexto2"/>
        <w:spacing w:line="276" w:lineRule="auto"/>
        <w:jc w:val="both"/>
        <w:rPr>
          <w:rFonts w:asciiTheme="minorHAnsi" w:hAnsiTheme="minorHAnsi"/>
          <w:color w:val="1F3864" w:themeColor="accent5" w:themeShade="80"/>
          <w:sz w:val="22"/>
          <w:szCs w:val="22"/>
        </w:rPr>
      </w:pPr>
      <w:r w:rsidRPr="00BF4B4E">
        <w:rPr>
          <w:rFonts w:asciiTheme="minorHAnsi" w:eastAsia="Calibri" w:hAnsiTheme="minorHAnsi" w:cs="Arial"/>
          <w:color w:val="1F3864"/>
          <w:sz w:val="22"/>
          <w:szCs w:val="22"/>
          <w:highlight w:val="yellow"/>
          <w:lang w:eastAsia="pt-PT"/>
        </w:rPr>
        <w:t xml:space="preserve">The </w:t>
      </w:r>
      <w:r w:rsidR="001619B2" w:rsidRPr="00BF4B4E">
        <w:rPr>
          <w:rFonts w:asciiTheme="minorHAnsi" w:eastAsia="Calibri" w:hAnsiTheme="minorHAnsi" w:cs="Arial"/>
          <w:color w:val="1F3864"/>
          <w:sz w:val="22"/>
          <w:szCs w:val="22"/>
          <w:highlight w:val="yellow"/>
          <w:lang w:eastAsia="pt-PT"/>
        </w:rPr>
        <w:t>……</w:t>
      </w:r>
      <w:r w:rsidRPr="00BF4B4E">
        <w:rPr>
          <w:rFonts w:asciiTheme="minorHAnsi" w:eastAsia="Calibri" w:hAnsiTheme="minorHAnsi" w:cs="Arial"/>
          <w:color w:val="1F3864"/>
          <w:sz w:val="22"/>
          <w:szCs w:val="22"/>
          <w:highlight w:val="yellow"/>
          <w:lang w:eastAsia="pt-PT"/>
        </w:rPr>
        <w:t xml:space="preserve">, represented by </w:t>
      </w:r>
      <w:r w:rsidR="001619B2" w:rsidRPr="00BF4B4E">
        <w:rPr>
          <w:rFonts w:asciiTheme="minorHAnsi" w:eastAsia="Calibri" w:hAnsiTheme="minorHAnsi" w:cs="Arial"/>
          <w:color w:val="1F3864"/>
          <w:sz w:val="22"/>
          <w:szCs w:val="22"/>
          <w:highlight w:val="yellow"/>
          <w:lang w:eastAsia="pt-PT"/>
        </w:rPr>
        <w:t>……</w:t>
      </w:r>
      <w:proofErr w:type="gramStart"/>
      <w:r w:rsidR="001619B2" w:rsidRPr="00BF4B4E">
        <w:rPr>
          <w:rFonts w:asciiTheme="minorHAnsi" w:eastAsia="Calibri" w:hAnsiTheme="minorHAnsi" w:cs="Arial"/>
          <w:color w:val="1F3864"/>
          <w:sz w:val="22"/>
          <w:szCs w:val="22"/>
          <w:highlight w:val="yellow"/>
          <w:lang w:eastAsia="pt-PT"/>
        </w:rPr>
        <w:t>…..</w:t>
      </w:r>
      <w:proofErr w:type="gramEnd"/>
      <w:r w:rsidRPr="00BF4B4E">
        <w:rPr>
          <w:rFonts w:asciiTheme="minorHAnsi" w:eastAsia="Calibri" w:hAnsiTheme="minorHAnsi" w:cs="Arial"/>
          <w:color w:val="1F3864"/>
          <w:sz w:val="22"/>
          <w:szCs w:val="22"/>
          <w:highlight w:val="yellow"/>
          <w:lang w:eastAsia="pt-PT"/>
        </w:rPr>
        <w:t>,</w:t>
      </w:r>
      <w:r w:rsidRPr="00BF4B4E">
        <w:rPr>
          <w:rFonts w:asciiTheme="majorHAnsi" w:hAnsiTheme="majorHAnsi"/>
          <w:color w:val="1F3864" w:themeColor="accent5" w:themeShade="80"/>
          <w:sz w:val="22"/>
          <w:szCs w:val="22"/>
          <w:highlight w:val="yellow"/>
        </w:rPr>
        <w:t xml:space="preserve"> </w:t>
      </w:r>
      <w:r w:rsidRPr="00BF4B4E">
        <w:rPr>
          <w:rFonts w:asciiTheme="minorHAnsi" w:hAnsiTheme="minorHAnsi"/>
          <w:snapToGrid w:val="0"/>
          <w:color w:val="1F3864" w:themeColor="accent5" w:themeShade="80"/>
          <w:sz w:val="22"/>
          <w:szCs w:val="22"/>
          <w:highlight w:val="yellow"/>
          <w:lang w:eastAsia="pt-PT"/>
        </w:rPr>
        <w:t xml:space="preserve">located in </w:t>
      </w:r>
      <w:r w:rsidRPr="00BF4B4E">
        <w:rPr>
          <w:rFonts w:asciiTheme="minorHAnsi" w:hAnsiTheme="minorHAnsi" w:cs="Arial"/>
          <w:color w:val="1F3864"/>
          <w:sz w:val="22"/>
          <w:szCs w:val="22"/>
          <w:highlight w:val="yellow"/>
        </w:rPr>
        <w:t>&lt;</w:t>
      </w:r>
      <w:r w:rsidRPr="00BF4B4E">
        <w:rPr>
          <w:rFonts w:asciiTheme="minorHAnsi" w:hAnsiTheme="minorHAnsi"/>
          <w:snapToGrid w:val="0"/>
          <w:color w:val="1F3864" w:themeColor="accent5" w:themeShade="80"/>
          <w:sz w:val="22"/>
          <w:szCs w:val="22"/>
          <w:highlight w:val="yellow"/>
          <w:lang w:eastAsia="pt-PT"/>
        </w:rPr>
        <w:t>“</w:t>
      </w:r>
      <w:proofErr w:type="spellStart"/>
      <w:r w:rsidRPr="00BF4B4E">
        <w:rPr>
          <w:rFonts w:asciiTheme="minorHAnsi" w:hAnsiTheme="minorHAnsi"/>
          <w:snapToGrid w:val="0"/>
          <w:color w:val="1F3864" w:themeColor="accent5" w:themeShade="80"/>
          <w:sz w:val="22"/>
          <w:szCs w:val="22"/>
          <w:highlight w:val="yellow"/>
          <w:lang w:eastAsia="pt-PT"/>
        </w:rPr>
        <w:t>AddressOrganisation</w:t>
      </w:r>
      <w:proofErr w:type="spellEnd"/>
      <w:r w:rsidRPr="00BF4B4E">
        <w:rPr>
          <w:rFonts w:asciiTheme="minorHAnsi" w:hAnsiTheme="minorHAnsi"/>
          <w:snapToGrid w:val="0"/>
          <w:color w:val="1F3864" w:themeColor="accent5" w:themeShade="80"/>
          <w:sz w:val="22"/>
          <w:szCs w:val="22"/>
          <w:highlight w:val="yellow"/>
          <w:lang w:eastAsia="pt-PT"/>
        </w:rPr>
        <w:t>”</w:t>
      </w:r>
      <w:r w:rsidRPr="00BF4B4E">
        <w:rPr>
          <w:rFonts w:asciiTheme="minorHAnsi" w:hAnsiTheme="minorHAnsi" w:cs="Arial"/>
          <w:color w:val="1F3864"/>
          <w:sz w:val="22"/>
          <w:szCs w:val="22"/>
          <w:highlight w:val="yellow"/>
        </w:rPr>
        <w:t>&gt;</w:t>
      </w:r>
      <w:r w:rsidRPr="00BF4B4E">
        <w:rPr>
          <w:rFonts w:asciiTheme="minorHAnsi" w:hAnsiTheme="minorHAnsi"/>
          <w:snapToGrid w:val="0"/>
          <w:color w:val="1F3864" w:themeColor="accent5" w:themeShade="80"/>
          <w:sz w:val="22"/>
          <w:szCs w:val="22"/>
          <w:highlight w:val="yellow"/>
          <w:lang w:eastAsia="pt-PT"/>
        </w:rPr>
        <w:t xml:space="preserve">, </w:t>
      </w:r>
      <w:r w:rsidRPr="00BF4B4E">
        <w:rPr>
          <w:rFonts w:asciiTheme="minorHAnsi" w:hAnsiTheme="minorHAnsi" w:cs="Arial"/>
          <w:color w:val="1F3864"/>
          <w:sz w:val="22"/>
          <w:szCs w:val="22"/>
          <w:highlight w:val="yellow"/>
        </w:rPr>
        <w:t>&lt;</w:t>
      </w:r>
      <w:r w:rsidRPr="00BF4B4E">
        <w:rPr>
          <w:rFonts w:asciiTheme="minorHAnsi" w:hAnsiTheme="minorHAnsi"/>
          <w:snapToGrid w:val="0"/>
          <w:color w:val="1F3864" w:themeColor="accent5" w:themeShade="80"/>
          <w:sz w:val="22"/>
          <w:szCs w:val="22"/>
          <w:highlight w:val="yellow"/>
          <w:lang w:eastAsia="pt-PT"/>
        </w:rPr>
        <w:t>“</w:t>
      </w:r>
      <w:proofErr w:type="spellStart"/>
      <w:r w:rsidRPr="00BF4B4E">
        <w:rPr>
          <w:rFonts w:asciiTheme="minorHAnsi" w:hAnsiTheme="minorHAnsi"/>
          <w:snapToGrid w:val="0"/>
          <w:color w:val="1F3864" w:themeColor="accent5" w:themeShade="80"/>
          <w:sz w:val="22"/>
          <w:szCs w:val="22"/>
          <w:highlight w:val="yellow"/>
          <w:lang w:eastAsia="pt-PT"/>
        </w:rPr>
        <w:t>PostCode</w:t>
      </w:r>
      <w:proofErr w:type="spellEnd"/>
      <w:r w:rsidRPr="00BF4B4E">
        <w:rPr>
          <w:rFonts w:asciiTheme="minorHAnsi" w:hAnsiTheme="minorHAnsi"/>
          <w:snapToGrid w:val="0"/>
          <w:color w:val="1F3864" w:themeColor="accent5" w:themeShade="80"/>
          <w:sz w:val="22"/>
          <w:szCs w:val="22"/>
          <w:highlight w:val="yellow"/>
          <w:lang w:eastAsia="pt-PT"/>
        </w:rPr>
        <w:t>” “City”, “Country”</w:t>
      </w:r>
      <w:r w:rsidRPr="00BF4B4E">
        <w:rPr>
          <w:rFonts w:asciiTheme="minorHAnsi" w:hAnsiTheme="minorHAnsi" w:cs="Arial"/>
          <w:color w:val="1F3864"/>
          <w:sz w:val="22"/>
          <w:szCs w:val="22"/>
          <w:highlight w:val="yellow"/>
        </w:rPr>
        <w:t>&gt;</w:t>
      </w:r>
      <w:r w:rsidRPr="00BF4B4E">
        <w:rPr>
          <w:rFonts w:asciiTheme="minorHAnsi" w:hAnsiTheme="minorHAnsi"/>
          <w:snapToGrid w:val="0"/>
          <w:color w:val="1F3864" w:themeColor="accent5" w:themeShade="80"/>
          <w:sz w:val="22"/>
          <w:szCs w:val="22"/>
          <w:highlight w:val="yellow"/>
          <w:lang w:eastAsia="pt-PT"/>
        </w:rPr>
        <w:t xml:space="preserve">, represented by </w:t>
      </w:r>
      <w:r w:rsidRPr="00BF4B4E">
        <w:rPr>
          <w:rFonts w:asciiTheme="minorHAnsi" w:hAnsiTheme="minorHAnsi" w:cs="Arial"/>
          <w:color w:val="1F3864"/>
          <w:sz w:val="22"/>
          <w:szCs w:val="22"/>
          <w:highlight w:val="yellow"/>
        </w:rPr>
        <w:t>&lt;</w:t>
      </w:r>
      <w:r w:rsidRPr="00BF4B4E">
        <w:rPr>
          <w:rFonts w:asciiTheme="minorHAnsi" w:hAnsiTheme="minorHAnsi"/>
          <w:snapToGrid w:val="0"/>
          <w:color w:val="1F3864" w:themeColor="accent5" w:themeShade="80"/>
          <w:sz w:val="22"/>
          <w:szCs w:val="22"/>
          <w:highlight w:val="yellow"/>
          <w:lang w:eastAsia="pt-PT"/>
        </w:rPr>
        <w:t>“</w:t>
      </w:r>
      <w:proofErr w:type="spellStart"/>
      <w:r w:rsidRPr="00BF4B4E">
        <w:rPr>
          <w:rFonts w:asciiTheme="minorHAnsi" w:hAnsiTheme="minorHAnsi"/>
          <w:snapToGrid w:val="0"/>
          <w:color w:val="1F3864" w:themeColor="accent5" w:themeShade="80"/>
          <w:sz w:val="22"/>
          <w:szCs w:val="22"/>
          <w:highlight w:val="yellow"/>
          <w:lang w:eastAsia="pt-PT"/>
        </w:rPr>
        <w:t>NameSurnameLegalRepresentative</w:t>
      </w:r>
      <w:proofErr w:type="spellEnd"/>
      <w:r w:rsidRPr="00BF4B4E">
        <w:rPr>
          <w:rFonts w:asciiTheme="minorHAnsi" w:hAnsiTheme="minorHAnsi"/>
          <w:snapToGrid w:val="0"/>
          <w:color w:val="1F3864" w:themeColor="accent5" w:themeShade="80"/>
          <w:sz w:val="22"/>
          <w:szCs w:val="22"/>
          <w:highlight w:val="yellow"/>
          <w:lang w:eastAsia="pt-PT"/>
        </w:rPr>
        <w:t>”</w:t>
      </w:r>
      <w:r w:rsidRPr="00BF4B4E">
        <w:rPr>
          <w:rFonts w:asciiTheme="minorHAnsi" w:hAnsiTheme="minorHAnsi" w:cs="Arial"/>
          <w:color w:val="1F3864"/>
          <w:sz w:val="22"/>
          <w:szCs w:val="22"/>
          <w:highlight w:val="yellow"/>
        </w:rPr>
        <w:t>&gt;</w:t>
      </w:r>
      <w:r w:rsidRPr="00BF4B4E">
        <w:rPr>
          <w:rFonts w:asciiTheme="minorHAnsi" w:hAnsiTheme="minorHAnsi"/>
          <w:snapToGrid w:val="0"/>
          <w:color w:val="1F3864" w:themeColor="accent5" w:themeShade="80"/>
          <w:sz w:val="22"/>
          <w:szCs w:val="22"/>
          <w:highlight w:val="yellow"/>
          <w:lang w:eastAsia="pt-PT"/>
        </w:rPr>
        <w:t xml:space="preserve">, with the tax identification number </w:t>
      </w:r>
      <w:r w:rsidRPr="00BF4B4E">
        <w:rPr>
          <w:rFonts w:asciiTheme="minorHAnsi" w:hAnsiTheme="minorHAnsi" w:cs="Arial"/>
          <w:color w:val="1F3864"/>
          <w:sz w:val="22"/>
          <w:szCs w:val="22"/>
          <w:highlight w:val="yellow"/>
        </w:rPr>
        <w:t>&lt;</w:t>
      </w:r>
      <w:r w:rsidRPr="00BF4B4E">
        <w:rPr>
          <w:rFonts w:asciiTheme="minorHAnsi" w:hAnsiTheme="minorHAnsi"/>
          <w:snapToGrid w:val="0"/>
          <w:color w:val="1F3864" w:themeColor="accent5" w:themeShade="80"/>
          <w:sz w:val="22"/>
          <w:szCs w:val="22"/>
          <w:highlight w:val="yellow"/>
          <w:lang w:eastAsia="pt-PT"/>
        </w:rPr>
        <w:t>“</w:t>
      </w:r>
      <w:proofErr w:type="spellStart"/>
      <w:r w:rsidRPr="00BF4B4E">
        <w:rPr>
          <w:rFonts w:asciiTheme="minorHAnsi" w:hAnsiTheme="minorHAnsi"/>
          <w:snapToGrid w:val="0"/>
          <w:color w:val="1F3864" w:themeColor="accent5" w:themeShade="80"/>
          <w:sz w:val="22"/>
          <w:szCs w:val="22"/>
          <w:highlight w:val="yellow"/>
          <w:lang w:eastAsia="pt-PT"/>
        </w:rPr>
        <w:t>TaxIdentificationNumber</w:t>
      </w:r>
      <w:proofErr w:type="spellEnd"/>
      <w:r w:rsidRPr="00BF4B4E">
        <w:rPr>
          <w:rFonts w:asciiTheme="minorHAnsi" w:hAnsiTheme="minorHAnsi"/>
          <w:snapToGrid w:val="0"/>
          <w:color w:val="1F3864" w:themeColor="accent5" w:themeShade="80"/>
          <w:sz w:val="22"/>
          <w:szCs w:val="22"/>
          <w:highlight w:val="yellow"/>
          <w:lang w:eastAsia="pt-PT"/>
        </w:rPr>
        <w:t>”</w:t>
      </w:r>
      <w:r w:rsidRPr="00BF4B4E">
        <w:rPr>
          <w:rFonts w:asciiTheme="minorHAnsi" w:hAnsiTheme="minorHAnsi" w:cs="Arial"/>
          <w:color w:val="1F3864"/>
          <w:sz w:val="22"/>
          <w:szCs w:val="22"/>
          <w:highlight w:val="yellow"/>
        </w:rPr>
        <w:t>&gt;</w:t>
      </w:r>
      <w:r w:rsidRPr="00BF4B4E">
        <w:rPr>
          <w:rFonts w:asciiTheme="minorHAnsi" w:hAnsiTheme="minorHAnsi"/>
          <w:color w:val="1F3864" w:themeColor="accent5" w:themeShade="80"/>
          <w:sz w:val="22"/>
          <w:szCs w:val="22"/>
          <w:highlight w:val="yellow"/>
        </w:rPr>
        <w:t>.</w:t>
      </w:r>
    </w:p>
    <w:p w14:paraId="64D666AB" w14:textId="08670531" w:rsidR="00861EE3" w:rsidRPr="00BF4B4E" w:rsidRDefault="00861EE3" w:rsidP="00861EE3">
      <w:pPr>
        <w:tabs>
          <w:tab w:val="left" w:pos="1440"/>
        </w:tabs>
        <w:spacing w:line="276" w:lineRule="auto"/>
        <w:ind w:left="1134" w:hanging="1134"/>
        <w:rPr>
          <w:rFonts w:cs="Arial"/>
          <w:color w:val="1F3864" w:themeColor="accent5" w:themeShade="80"/>
        </w:rPr>
      </w:pPr>
      <w:r w:rsidRPr="00BF4B4E">
        <w:rPr>
          <w:rFonts w:cs="Arial"/>
          <w:color w:val="1F3864" w:themeColor="accent5" w:themeShade="80"/>
        </w:rPr>
        <w:t xml:space="preserve">is concluded </w:t>
      </w:r>
      <w:proofErr w:type="gramStart"/>
      <w:r w:rsidRPr="00BF4B4E">
        <w:rPr>
          <w:rFonts w:cs="Arial"/>
          <w:color w:val="1F3864" w:themeColor="accent5" w:themeShade="80"/>
        </w:rPr>
        <w:t>on the basis of</w:t>
      </w:r>
      <w:proofErr w:type="gramEnd"/>
      <w:r w:rsidRPr="00BF4B4E">
        <w:rPr>
          <w:rFonts w:cs="Arial"/>
          <w:color w:val="1F3864" w:themeColor="accent5" w:themeShade="80"/>
        </w:rPr>
        <w:t xml:space="preserve">: </w:t>
      </w:r>
    </w:p>
    <w:p w14:paraId="102D8D95" w14:textId="77777777" w:rsidR="00861EE3" w:rsidRPr="00BF4B4E" w:rsidRDefault="00861EE3" w:rsidP="00861EE3">
      <w:pPr>
        <w:tabs>
          <w:tab w:val="left" w:pos="1440"/>
        </w:tabs>
        <w:spacing w:line="276" w:lineRule="auto"/>
        <w:ind w:left="1134" w:hanging="1134"/>
        <w:rPr>
          <w:rFonts w:cs="Arial"/>
          <w:color w:val="1F3864" w:themeColor="accent5" w:themeShade="80"/>
        </w:rPr>
      </w:pPr>
    </w:p>
    <w:p w14:paraId="3E9D5057" w14:textId="77777777" w:rsidR="00861EE3" w:rsidRPr="00BF4B4E" w:rsidRDefault="00861EE3" w:rsidP="00014C35">
      <w:pPr>
        <w:tabs>
          <w:tab w:val="left" w:pos="1440"/>
        </w:tabs>
        <w:spacing w:line="276" w:lineRule="auto"/>
        <w:ind w:left="1134" w:hanging="1134"/>
        <w:jc w:val="center"/>
        <w:rPr>
          <w:rFonts w:cs="Arial"/>
          <w:b/>
          <w:color w:val="1F3864" w:themeColor="accent5" w:themeShade="80"/>
          <w:sz w:val="26"/>
          <w:szCs w:val="26"/>
        </w:rPr>
      </w:pPr>
      <w:r w:rsidRPr="00BF4B4E">
        <w:rPr>
          <w:rFonts w:cs="Arial"/>
          <w:b/>
          <w:color w:val="1F3864" w:themeColor="accent5" w:themeShade="80"/>
          <w:sz w:val="26"/>
          <w:szCs w:val="26"/>
        </w:rPr>
        <w:t>Article 1 - Legal Framework</w:t>
      </w:r>
    </w:p>
    <w:p w14:paraId="2A1791F8" w14:textId="77777777" w:rsidR="00014C35" w:rsidRPr="00BF4B4E" w:rsidRDefault="002775C6" w:rsidP="00014C35">
      <w:pPr>
        <w:pStyle w:val="Default"/>
        <w:numPr>
          <w:ilvl w:val="0"/>
          <w:numId w:val="21"/>
        </w:numPr>
        <w:spacing w:after="147" w:line="276" w:lineRule="auto"/>
        <w:ind w:left="284" w:right="733" w:hanging="142"/>
        <w:jc w:val="both"/>
        <w:rPr>
          <w:rFonts w:asciiTheme="minorHAnsi" w:hAnsiTheme="minorHAnsi" w:cstheme="minorHAnsi"/>
          <w:color w:val="1F3864" w:themeColor="accent5" w:themeShade="80"/>
          <w:sz w:val="22"/>
          <w:szCs w:val="22"/>
          <w:lang w:val="en-GB"/>
        </w:rPr>
      </w:pPr>
      <w:r w:rsidRPr="00BF4B4E">
        <w:rPr>
          <w:rFonts w:asciiTheme="minorHAnsi" w:hAnsiTheme="minorHAnsi" w:cstheme="minorHAnsi"/>
          <w:color w:val="1F3864" w:themeColor="accent5" w:themeShade="80"/>
          <w:sz w:val="22"/>
          <w:szCs w:val="22"/>
          <w:lang w:val="en-GB"/>
        </w:rPr>
        <w:t xml:space="preserve">This </w:t>
      </w:r>
      <w:r w:rsidR="0055267E" w:rsidRPr="00BF4B4E">
        <w:rPr>
          <w:rFonts w:asciiTheme="minorHAnsi" w:hAnsiTheme="minorHAnsi" w:cstheme="minorHAnsi"/>
          <w:color w:val="1F3864" w:themeColor="accent5" w:themeShade="80"/>
          <w:sz w:val="22"/>
          <w:szCs w:val="22"/>
          <w:lang w:val="en-GB"/>
        </w:rPr>
        <w:t>Agreement is</w:t>
      </w:r>
      <w:r w:rsidRPr="00BF4B4E">
        <w:rPr>
          <w:rFonts w:asciiTheme="minorHAnsi" w:hAnsiTheme="minorHAnsi" w:cstheme="minorHAnsi"/>
          <w:color w:val="1F3864" w:themeColor="accent5" w:themeShade="80"/>
          <w:sz w:val="22"/>
          <w:szCs w:val="22"/>
          <w:lang w:val="en-GB"/>
        </w:rPr>
        <w:t xml:space="preserve"> concluded </w:t>
      </w:r>
      <w:r w:rsidR="0055267E" w:rsidRPr="00BF4B4E">
        <w:rPr>
          <w:rFonts w:asciiTheme="minorHAnsi" w:hAnsiTheme="minorHAnsi" w:cstheme="minorHAnsi"/>
          <w:color w:val="1F3864" w:themeColor="accent5" w:themeShade="80"/>
          <w:sz w:val="22"/>
          <w:szCs w:val="22"/>
          <w:lang w:val="en-GB"/>
        </w:rPr>
        <w:t>based on</w:t>
      </w:r>
      <w:r w:rsidRPr="00BF4B4E">
        <w:rPr>
          <w:rFonts w:asciiTheme="minorHAnsi" w:hAnsiTheme="minorHAnsi" w:cstheme="minorHAnsi"/>
          <w:color w:val="1F3864" w:themeColor="accent5" w:themeShade="80"/>
          <w:sz w:val="22"/>
          <w:szCs w:val="22"/>
          <w:lang w:val="en-GB"/>
        </w:rPr>
        <w:t xml:space="preserve"> the following legal provisions: </w:t>
      </w:r>
    </w:p>
    <w:p w14:paraId="1D563CD5" w14:textId="77777777" w:rsidR="00014C35" w:rsidRPr="00BF4B4E" w:rsidRDefault="002775C6" w:rsidP="00014C35">
      <w:pPr>
        <w:pStyle w:val="Default"/>
        <w:numPr>
          <w:ilvl w:val="0"/>
          <w:numId w:val="1"/>
        </w:numPr>
        <w:spacing w:after="147" w:line="276" w:lineRule="auto"/>
        <w:ind w:right="733"/>
        <w:jc w:val="both"/>
        <w:rPr>
          <w:rFonts w:asciiTheme="minorHAnsi" w:hAnsiTheme="minorHAnsi" w:cstheme="minorHAnsi"/>
          <w:color w:val="1F3864" w:themeColor="accent5" w:themeShade="80"/>
          <w:sz w:val="22"/>
          <w:szCs w:val="22"/>
          <w:lang w:val="en-GB"/>
        </w:rPr>
      </w:pPr>
      <w:r w:rsidRPr="00BF4B4E">
        <w:rPr>
          <w:rFonts w:asciiTheme="minorHAnsi" w:hAnsiTheme="minorHAnsi" w:cstheme="minorHAnsi"/>
          <w:color w:val="1F3864" w:themeColor="accent5" w:themeShade="80"/>
          <w:sz w:val="22"/>
          <w:szCs w:val="22"/>
          <w:lang w:val="en-GB"/>
        </w:rPr>
        <w:t xml:space="preserve">The European Structural and Investment Funds Regulations, Delegated and Implementing Acts for the 2021-2027 period, especially Article 22 </w:t>
      </w:r>
      <w:r w:rsidR="0055267E" w:rsidRPr="00BF4B4E">
        <w:rPr>
          <w:rFonts w:asciiTheme="minorHAnsi" w:hAnsiTheme="minorHAnsi" w:cstheme="minorHAnsi"/>
          <w:color w:val="1F3864" w:themeColor="accent5" w:themeShade="80"/>
          <w:sz w:val="22"/>
          <w:szCs w:val="22"/>
          <w:lang w:val="en-GB"/>
        </w:rPr>
        <w:t xml:space="preserve">(1) and </w:t>
      </w:r>
      <w:r w:rsidRPr="00BF4B4E">
        <w:rPr>
          <w:rFonts w:asciiTheme="minorHAnsi" w:hAnsiTheme="minorHAnsi" w:cstheme="minorHAnsi"/>
          <w:color w:val="1F3864" w:themeColor="accent5" w:themeShade="80"/>
          <w:sz w:val="22"/>
          <w:szCs w:val="22"/>
          <w:lang w:val="en-GB"/>
        </w:rPr>
        <w:t xml:space="preserve">(6) of the Regulation (EU) 2021/1059 of the European Parliament and of the Council of 24 June 2021 as further specified below; </w:t>
      </w:r>
    </w:p>
    <w:p w14:paraId="5A87A5AE" w14:textId="77777777" w:rsidR="00014C35" w:rsidRPr="00BF4B4E" w:rsidRDefault="002775C6" w:rsidP="00014C35">
      <w:pPr>
        <w:pStyle w:val="Default"/>
        <w:numPr>
          <w:ilvl w:val="0"/>
          <w:numId w:val="1"/>
        </w:numPr>
        <w:spacing w:after="147" w:line="276" w:lineRule="auto"/>
        <w:ind w:right="733"/>
        <w:jc w:val="both"/>
        <w:rPr>
          <w:rFonts w:asciiTheme="minorHAnsi" w:hAnsiTheme="minorHAnsi" w:cstheme="minorHAnsi"/>
          <w:color w:val="1F3864" w:themeColor="accent5" w:themeShade="80"/>
          <w:sz w:val="22"/>
          <w:szCs w:val="22"/>
          <w:lang w:val="en-GB"/>
        </w:rPr>
      </w:pPr>
      <w:r w:rsidRPr="00BF4B4E">
        <w:rPr>
          <w:rFonts w:asciiTheme="minorHAnsi" w:hAnsiTheme="minorHAnsi" w:cstheme="minorHAnsi"/>
          <w:color w:val="1F3864" w:themeColor="accent5" w:themeShade="80"/>
          <w:sz w:val="22"/>
          <w:szCs w:val="22"/>
          <w:lang w:val="en-GB"/>
        </w:rPr>
        <w:t xml:space="preserve">The Interreg ATLANTIC AREA 2021-2027 Programme (CCI 2021TC16RFTN002), </w:t>
      </w:r>
      <w:r w:rsidR="00014C35" w:rsidRPr="00BF4B4E">
        <w:rPr>
          <w:rFonts w:asciiTheme="minorHAnsi" w:hAnsiTheme="minorHAnsi" w:cstheme="minorHAnsi"/>
          <w:color w:val="1F3864" w:themeColor="accent5" w:themeShade="80"/>
          <w:sz w:val="22"/>
          <w:szCs w:val="22"/>
          <w:lang w:val="en-GB"/>
        </w:rPr>
        <w:t>a</w:t>
      </w:r>
      <w:r w:rsidRPr="00BF4B4E">
        <w:rPr>
          <w:rFonts w:asciiTheme="minorHAnsi" w:hAnsiTheme="minorHAnsi" w:cstheme="minorHAnsi"/>
          <w:color w:val="1F3864" w:themeColor="accent5" w:themeShade="80"/>
          <w:sz w:val="22"/>
          <w:szCs w:val="22"/>
          <w:lang w:val="en-GB"/>
        </w:rPr>
        <w:t xml:space="preserve">pproved by the EC on 08/09/2022; (Decision No. </w:t>
      </w:r>
      <w:proofErr w:type="gramStart"/>
      <w:r w:rsidRPr="00BF4B4E">
        <w:rPr>
          <w:rFonts w:asciiTheme="minorHAnsi" w:hAnsiTheme="minorHAnsi" w:cstheme="minorHAnsi"/>
          <w:color w:val="1F3864" w:themeColor="accent5" w:themeShade="80"/>
          <w:sz w:val="22"/>
          <w:szCs w:val="22"/>
          <w:lang w:val="en-GB"/>
        </w:rPr>
        <w:t>C(</w:t>
      </w:r>
      <w:proofErr w:type="gramEnd"/>
      <w:r w:rsidRPr="00BF4B4E">
        <w:rPr>
          <w:rFonts w:asciiTheme="minorHAnsi" w:hAnsiTheme="minorHAnsi" w:cstheme="minorHAnsi"/>
          <w:color w:val="1F3864" w:themeColor="accent5" w:themeShade="80"/>
          <w:sz w:val="22"/>
          <w:szCs w:val="22"/>
          <w:lang w:val="en-GB"/>
        </w:rPr>
        <w:t xml:space="preserve">2022)6576) setting the Programme (hereinafter referred to as AA Programme - or Programme); </w:t>
      </w:r>
    </w:p>
    <w:p w14:paraId="1D6A8FA3" w14:textId="0170AC1E" w:rsidR="002775C6" w:rsidRPr="00BF4B4E" w:rsidRDefault="002775C6" w:rsidP="00014C35">
      <w:pPr>
        <w:pStyle w:val="Default"/>
        <w:numPr>
          <w:ilvl w:val="0"/>
          <w:numId w:val="1"/>
        </w:numPr>
        <w:spacing w:after="147" w:line="276" w:lineRule="auto"/>
        <w:ind w:right="733"/>
        <w:jc w:val="both"/>
        <w:rPr>
          <w:rFonts w:asciiTheme="minorHAnsi" w:hAnsiTheme="minorHAnsi" w:cstheme="minorHAnsi"/>
          <w:color w:val="1F3864" w:themeColor="accent5" w:themeShade="80"/>
          <w:sz w:val="22"/>
          <w:szCs w:val="22"/>
          <w:lang w:val="en-GB"/>
        </w:rPr>
      </w:pPr>
      <w:r w:rsidRPr="00BF4B4E">
        <w:rPr>
          <w:rFonts w:asciiTheme="minorHAnsi" w:hAnsiTheme="minorHAnsi" w:cstheme="minorHAnsi"/>
          <w:color w:val="1F3864" w:themeColor="accent5" w:themeShade="80"/>
          <w:sz w:val="22"/>
          <w:szCs w:val="22"/>
          <w:lang w:val="en-GB"/>
        </w:rPr>
        <w:t xml:space="preserve">The laws of the Republic of Portugal apply to this contractual relationship. </w:t>
      </w:r>
    </w:p>
    <w:p w14:paraId="1C151C16" w14:textId="77777777" w:rsidR="002775C6" w:rsidRPr="00BF4B4E" w:rsidRDefault="002775C6" w:rsidP="00014C35">
      <w:pPr>
        <w:pStyle w:val="Default"/>
        <w:numPr>
          <w:ilvl w:val="0"/>
          <w:numId w:val="21"/>
        </w:numPr>
        <w:spacing w:after="135" w:line="276" w:lineRule="auto"/>
        <w:ind w:right="731" w:hanging="578"/>
        <w:jc w:val="both"/>
        <w:rPr>
          <w:rFonts w:asciiTheme="minorHAnsi" w:hAnsiTheme="minorHAnsi" w:cstheme="minorHAnsi"/>
          <w:color w:val="1F3864" w:themeColor="accent5" w:themeShade="80"/>
          <w:sz w:val="22"/>
          <w:szCs w:val="22"/>
          <w:lang w:val="en-GB"/>
        </w:rPr>
      </w:pPr>
      <w:r w:rsidRPr="00BF4B4E">
        <w:rPr>
          <w:rFonts w:asciiTheme="minorHAnsi" w:hAnsiTheme="minorHAnsi" w:cstheme="minorHAnsi"/>
          <w:color w:val="1F3864" w:themeColor="accent5" w:themeShade="80"/>
          <w:sz w:val="22"/>
          <w:szCs w:val="22"/>
          <w:lang w:val="en-GB"/>
        </w:rPr>
        <w:t xml:space="preserve">The following laws and documents constitute the legal framework applicable to the rights and obligations of the parties to this contract: </w:t>
      </w:r>
    </w:p>
    <w:p w14:paraId="70E3307C" w14:textId="77777777" w:rsidR="002775C6" w:rsidRPr="00BF4B4E" w:rsidRDefault="002775C6" w:rsidP="00014C35">
      <w:pPr>
        <w:pStyle w:val="Default"/>
        <w:numPr>
          <w:ilvl w:val="0"/>
          <w:numId w:val="2"/>
        </w:numPr>
        <w:spacing w:after="135" w:line="276" w:lineRule="auto"/>
        <w:ind w:left="720" w:right="111"/>
        <w:jc w:val="both"/>
        <w:rPr>
          <w:rFonts w:asciiTheme="minorHAnsi" w:hAnsiTheme="minorHAnsi" w:cstheme="minorHAnsi"/>
          <w:color w:val="1F3864" w:themeColor="accent5" w:themeShade="80"/>
          <w:sz w:val="22"/>
          <w:szCs w:val="22"/>
          <w:lang w:val="en-GB"/>
        </w:rPr>
      </w:pPr>
      <w:r w:rsidRPr="00BF4B4E">
        <w:rPr>
          <w:rFonts w:asciiTheme="minorHAnsi" w:hAnsiTheme="minorHAnsi" w:cstheme="minorHAnsi"/>
          <w:color w:val="1F3864" w:themeColor="accent5" w:themeShade="80"/>
          <w:sz w:val="22"/>
          <w:szCs w:val="22"/>
          <w:lang w:val="en-GB"/>
        </w:rPr>
        <w:t xml:space="preserve">Regulation (EU, Euratom) 2018/1046 of the European Parliament and of the Council on the financial rules applicable to the general budget of the Union, amending Regulations (EU) No 1296/2013, (EU) No 1301/2013, (EU) No 1303/2013, (EU) No 1304/2013, (EU) No 1309/2013, (EU) No 1316/2013, (EU) No 223/2014, (EU) No 283/2014, and Decision No </w:t>
      </w:r>
      <w:r w:rsidRPr="00BF4B4E">
        <w:rPr>
          <w:rFonts w:asciiTheme="minorHAnsi" w:hAnsiTheme="minorHAnsi" w:cstheme="minorHAnsi"/>
          <w:color w:val="1F3864" w:themeColor="accent5" w:themeShade="80"/>
          <w:sz w:val="22"/>
          <w:szCs w:val="22"/>
          <w:lang w:val="en-GB"/>
        </w:rPr>
        <w:lastRenderedPageBreak/>
        <w:t xml:space="preserve">541/2014/EU and repealing Regulation (EU, Euratom) No 966/2012 (Financial Regulation) together with related Delegated or Implementing Acts; </w:t>
      </w:r>
    </w:p>
    <w:p w14:paraId="56C8039A" w14:textId="77777777" w:rsidR="002775C6" w:rsidRPr="00BF4B4E" w:rsidRDefault="002775C6" w:rsidP="00014C35">
      <w:pPr>
        <w:pStyle w:val="Default"/>
        <w:numPr>
          <w:ilvl w:val="0"/>
          <w:numId w:val="2"/>
        </w:numPr>
        <w:spacing w:after="135" w:line="276" w:lineRule="auto"/>
        <w:ind w:left="720" w:right="111"/>
        <w:jc w:val="both"/>
        <w:rPr>
          <w:rFonts w:asciiTheme="minorHAnsi" w:hAnsiTheme="minorHAnsi" w:cstheme="minorHAnsi"/>
          <w:color w:val="1F3864" w:themeColor="accent5" w:themeShade="80"/>
          <w:sz w:val="22"/>
          <w:szCs w:val="22"/>
          <w:lang w:val="en-GB"/>
        </w:rPr>
      </w:pPr>
      <w:r w:rsidRPr="00BF4B4E">
        <w:rPr>
          <w:rFonts w:asciiTheme="minorHAnsi" w:hAnsiTheme="minorHAnsi" w:cstheme="minorHAnsi"/>
          <w:color w:val="1F3864" w:themeColor="accent5" w:themeShade="80"/>
          <w:sz w:val="22"/>
          <w:szCs w:val="22"/>
          <w:lang w:val="en-GB"/>
        </w:rPr>
        <w:t>The European Structural and Investment Funds Regulations, as well as Delegated and Implementing Acts for the 2021-2027 programming period, especially:</w:t>
      </w:r>
    </w:p>
    <w:p w14:paraId="523EFCD7" w14:textId="77777777" w:rsidR="002775C6" w:rsidRPr="00BF4B4E" w:rsidRDefault="002775C6" w:rsidP="00014C35">
      <w:pPr>
        <w:pStyle w:val="Default"/>
        <w:numPr>
          <w:ilvl w:val="0"/>
          <w:numId w:val="3"/>
        </w:numPr>
        <w:tabs>
          <w:tab w:val="left" w:pos="1068"/>
        </w:tabs>
        <w:spacing w:line="276" w:lineRule="auto"/>
        <w:ind w:left="1075" w:right="111" w:hanging="357"/>
        <w:jc w:val="both"/>
        <w:rPr>
          <w:rFonts w:asciiTheme="minorHAnsi" w:hAnsiTheme="minorHAnsi" w:cstheme="minorHAnsi"/>
          <w:color w:val="1F3864" w:themeColor="accent5" w:themeShade="80"/>
          <w:lang w:val="en-GB"/>
        </w:rPr>
      </w:pPr>
      <w:r w:rsidRPr="00BF4B4E">
        <w:rPr>
          <w:rFonts w:asciiTheme="minorHAnsi" w:hAnsiTheme="minorHAnsi" w:cstheme="minorHAnsi"/>
          <w:color w:val="1F3864" w:themeColor="accent5" w:themeShade="80"/>
          <w:sz w:val="22"/>
          <w:szCs w:val="22"/>
          <w:lang w:val="en-GB"/>
        </w:rPr>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w:t>
      </w:r>
      <w:r w:rsidRPr="00BF4B4E">
        <w:rPr>
          <w:rFonts w:asciiTheme="minorHAnsi" w:hAnsiTheme="minorHAnsi" w:cstheme="minorHAnsi"/>
          <w:color w:val="1F3864" w:themeColor="accent5" w:themeShade="80"/>
          <w:lang w:val="en-GB"/>
        </w:rPr>
        <w:t xml:space="preserve"> Management and Visa Policy (Common Provisions Regulation – hereinafter referred to as CPR); </w:t>
      </w:r>
    </w:p>
    <w:p w14:paraId="293DA1AB" w14:textId="77777777" w:rsidR="00014C35" w:rsidRPr="00BF4B4E" w:rsidRDefault="00014C35" w:rsidP="00014C35">
      <w:pPr>
        <w:pStyle w:val="Default"/>
        <w:numPr>
          <w:ilvl w:val="0"/>
          <w:numId w:val="3"/>
        </w:numPr>
        <w:tabs>
          <w:tab w:val="left" w:pos="1068"/>
        </w:tabs>
        <w:spacing w:line="276" w:lineRule="auto"/>
        <w:ind w:left="1075" w:right="111" w:hanging="357"/>
        <w:jc w:val="both"/>
        <w:rPr>
          <w:rFonts w:asciiTheme="minorHAnsi" w:hAnsiTheme="minorHAnsi" w:cstheme="minorHAnsi"/>
          <w:color w:val="1F3864" w:themeColor="accent5" w:themeShade="80"/>
          <w:sz w:val="22"/>
          <w:szCs w:val="22"/>
          <w:lang w:val="en-GB"/>
        </w:rPr>
      </w:pPr>
      <w:r w:rsidRPr="00BF4B4E">
        <w:rPr>
          <w:rFonts w:asciiTheme="minorHAnsi" w:hAnsiTheme="minorHAnsi" w:cstheme="minorHAnsi"/>
          <w:color w:val="1F3864" w:themeColor="accent5" w:themeShade="80"/>
          <w:sz w:val="22"/>
          <w:szCs w:val="22"/>
          <w:lang w:val="en-GB"/>
        </w:rPr>
        <w:t>Regulation (EU) 2021/1058 of the European Parliament and of the Council of 24 June 2021 on the European Regional Development Fund and on the Cohesion Fund (hereinafter referred to as ERDF Regulation); Regulation (EU) 2021/1059 of the European Parliament and of the Council of 24 June 2021 on specific provisions for the European territorial cooperation goal (Interreg) supported by the European Regional Development Fund and external financing instruments (hereinafter referred to as Interreg Regulation); Other regulations and directives applicable to the implementation of projects co-funded by the ERDF; Articles 107 and 108 of the Treaty on the Functioning of the European Union; Commission Regulation (EU) No 1407/2013 on the application of Articles 107 and 108 of the Treaty on the Functioning of the European Union to de minimis aid; Commission Regulation (EU) No 651/2014 declaring certain categories of aid compatible with the internal market in application of Articles 107 and 108 of the Treaty (General Block Exemption Regulation - GBER) and its amendment, in particular Commission Regulation (EU) 2021/1237 amending Regulation (EU) No 651/2014 declaring certain categories of aid compatible with the internal market in application of Articles 107 and 108 of the Treaty; Delegated and Implementing acts as well as all applicable decisions and rulings in the field of State aid;</w:t>
      </w:r>
    </w:p>
    <w:p w14:paraId="69FB5B33" w14:textId="77777777" w:rsidR="00014C35" w:rsidRPr="00BF4B4E" w:rsidRDefault="00014C35" w:rsidP="00014C35">
      <w:pPr>
        <w:pStyle w:val="Default"/>
        <w:numPr>
          <w:ilvl w:val="0"/>
          <w:numId w:val="3"/>
        </w:numPr>
        <w:tabs>
          <w:tab w:val="left" w:pos="1068"/>
        </w:tabs>
        <w:spacing w:line="276" w:lineRule="auto"/>
        <w:ind w:left="1075" w:right="111" w:hanging="357"/>
        <w:jc w:val="both"/>
        <w:rPr>
          <w:rFonts w:asciiTheme="minorHAnsi" w:hAnsiTheme="minorHAnsi" w:cstheme="minorHAnsi"/>
          <w:color w:val="1F3864" w:themeColor="accent5" w:themeShade="80"/>
          <w:sz w:val="22"/>
          <w:szCs w:val="22"/>
          <w:lang w:val="en-GB"/>
        </w:rPr>
      </w:pPr>
      <w:r w:rsidRPr="00BF4B4E">
        <w:rPr>
          <w:rFonts w:asciiTheme="minorHAnsi" w:hAnsiTheme="minorHAnsi" w:cstheme="minorHAnsi"/>
          <w:color w:val="1F3864" w:themeColor="accent5" w:themeShade="80"/>
          <w:sz w:val="22"/>
          <w:szCs w:val="22"/>
          <w:lang w:val="en-GB"/>
        </w:rPr>
        <w:t xml:space="preserve">Regulation (EU) 2016/679 of 27 April 2016 on the protection of natural persons </w:t>
      </w:r>
      <w:proofErr w:type="gramStart"/>
      <w:r w:rsidRPr="00BF4B4E">
        <w:rPr>
          <w:rFonts w:asciiTheme="minorHAnsi" w:hAnsiTheme="minorHAnsi" w:cstheme="minorHAnsi"/>
          <w:color w:val="1F3864" w:themeColor="accent5" w:themeShade="80"/>
          <w:sz w:val="22"/>
          <w:szCs w:val="22"/>
          <w:lang w:val="en-GB"/>
        </w:rPr>
        <w:t>with regard to</w:t>
      </w:r>
      <w:proofErr w:type="gramEnd"/>
      <w:r w:rsidRPr="00BF4B4E">
        <w:rPr>
          <w:rFonts w:asciiTheme="minorHAnsi" w:hAnsiTheme="minorHAnsi" w:cstheme="minorHAnsi"/>
          <w:color w:val="1F3864" w:themeColor="accent5" w:themeShade="80"/>
          <w:sz w:val="22"/>
          <w:szCs w:val="22"/>
          <w:lang w:val="en-GB"/>
        </w:rPr>
        <w:t xml:space="preserve"> the processing of personal data and on the free movement of such data, and repealing directive 95/46/EC (General Data Protection Regulation, GDPR); </w:t>
      </w:r>
    </w:p>
    <w:p w14:paraId="1E2FF679" w14:textId="77777777" w:rsidR="00014C35" w:rsidRPr="00BF4B4E" w:rsidRDefault="00A2117C" w:rsidP="00014C35">
      <w:pPr>
        <w:pStyle w:val="Default"/>
        <w:numPr>
          <w:ilvl w:val="0"/>
          <w:numId w:val="3"/>
        </w:numPr>
        <w:tabs>
          <w:tab w:val="left" w:pos="1068"/>
        </w:tabs>
        <w:spacing w:line="276" w:lineRule="auto"/>
        <w:ind w:left="1075" w:right="111" w:hanging="357"/>
        <w:jc w:val="both"/>
        <w:rPr>
          <w:rFonts w:asciiTheme="minorHAnsi" w:hAnsiTheme="minorHAnsi" w:cstheme="minorHAnsi"/>
          <w:color w:val="1F3864" w:themeColor="accent5" w:themeShade="80"/>
          <w:lang w:val="en-GB"/>
        </w:rPr>
      </w:pPr>
      <w:r w:rsidRPr="00BF4B4E">
        <w:rPr>
          <w:rFonts w:asciiTheme="minorHAnsi" w:hAnsiTheme="minorHAnsi" w:cstheme="minorHAnsi"/>
          <w:color w:val="1F3864" w:themeColor="accent5" w:themeShade="80"/>
          <w:sz w:val="22"/>
          <w:szCs w:val="22"/>
          <w:lang w:val="en-GB"/>
        </w:rPr>
        <w:t xml:space="preserve">All other EU legislation and the underlying principles applicable to the LP and its project partners (hereinafter referred to as PPs), including the legislation laying down provisions on public procurement, on competition and entry into the markets, on sustainable development and environment protection, on equal opportunities, non-discrimination, and gender equality; </w:t>
      </w:r>
    </w:p>
    <w:p w14:paraId="26D0441A" w14:textId="77777777" w:rsidR="00014C35" w:rsidRPr="00BF4B4E" w:rsidRDefault="00A2117C" w:rsidP="00014C35">
      <w:pPr>
        <w:pStyle w:val="Default"/>
        <w:numPr>
          <w:ilvl w:val="0"/>
          <w:numId w:val="3"/>
        </w:numPr>
        <w:tabs>
          <w:tab w:val="left" w:pos="1068"/>
        </w:tabs>
        <w:spacing w:line="276" w:lineRule="auto"/>
        <w:ind w:left="1075" w:right="111" w:hanging="357"/>
        <w:jc w:val="both"/>
        <w:rPr>
          <w:rFonts w:asciiTheme="minorHAnsi" w:hAnsiTheme="minorHAnsi" w:cstheme="minorHAnsi"/>
          <w:color w:val="1F3864" w:themeColor="accent5" w:themeShade="80"/>
          <w:sz w:val="22"/>
          <w:szCs w:val="22"/>
          <w:lang w:val="en-GB"/>
        </w:rPr>
      </w:pPr>
      <w:r w:rsidRPr="00BF4B4E">
        <w:rPr>
          <w:rFonts w:asciiTheme="minorHAnsi" w:hAnsiTheme="minorHAnsi" w:cstheme="minorHAnsi"/>
          <w:color w:val="1F3864" w:themeColor="accent5" w:themeShade="80"/>
          <w:sz w:val="22"/>
          <w:szCs w:val="22"/>
          <w:lang w:val="en-GB"/>
        </w:rPr>
        <w:t xml:space="preserve">National rules applicable to the LP and its PPs and their activities; </w:t>
      </w:r>
    </w:p>
    <w:p w14:paraId="389C49C9" w14:textId="77777777" w:rsidR="00014C35" w:rsidRPr="00BF4B4E" w:rsidRDefault="00A2117C" w:rsidP="00014C35">
      <w:pPr>
        <w:pStyle w:val="Default"/>
        <w:numPr>
          <w:ilvl w:val="0"/>
          <w:numId w:val="3"/>
        </w:numPr>
        <w:tabs>
          <w:tab w:val="left" w:pos="1068"/>
        </w:tabs>
        <w:spacing w:line="276" w:lineRule="auto"/>
        <w:ind w:left="1075" w:right="111" w:hanging="357"/>
        <w:jc w:val="both"/>
        <w:rPr>
          <w:rFonts w:asciiTheme="minorHAnsi" w:hAnsiTheme="minorHAnsi" w:cstheme="minorHAnsi"/>
          <w:color w:val="1F3864" w:themeColor="accent5" w:themeShade="80"/>
          <w:sz w:val="22"/>
          <w:szCs w:val="22"/>
          <w:lang w:val="en-GB"/>
        </w:rPr>
      </w:pPr>
      <w:r w:rsidRPr="00BF4B4E">
        <w:rPr>
          <w:rFonts w:asciiTheme="minorHAnsi" w:hAnsiTheme="minorHAnsi" w:cstheme="minorHAnsi"/>
          <w:color w:val="1F3864" w:themeColor="accent5" w:themeShade="80"/>
          <w:sz w:val="22"/>
          <w:szCs w:val="22"/>
          <w:lang w:val="en-GB"/>
        </w:rPr>
        <w:t>Project data, i.e., comprise the information integrated in the latest application form, as well as all project information available in SIGI</w:t>
      </w:r>
      <w:r w:rsidR="007E043A" w:rsidRPr="00BF4B4E">
        <w:rPr>
          <w:rFonts w:asciiTheme="minorHAnsi" w:hAnsiTheme="minorHAnsi" w:cstheme="minorHAnsi"/>
          <w:color w:val="1F3864" w:themeColor="accent5" w:themeShade="80"/>
          <w:sz w:val="22"/>
          <w:szCs w:val="22"/>
          <w:lang w:val="en-GB"/>
        </w:rPr>
        <w:t xml:space="preserve"> (“</w:t>
      </w:r>
      <w:r w:rsidR="007E043A" w:rsidRPr="00BF4B4E">
        <w:rPr>
          <w:rFonts w:asciiTheme="minorHAnsi" w:hAnsiTheme="minorHAnsi" w:cstheme="minorHAnsi"/>
          <w:i/>
          <w:iCs/>
          <w:color w:val="1F3864" w:themeColor="accent5" w:themeShade="80"/>
          <w:sz w:val="22"/>
          <w:szCs w:val="22"/>
          <w:lang w:val="en-GB"/>
        </w:rPr>
        <w:t xml:space="preserve">Sistema de </w:t>
      </w:r>
      <w:proofErr w:type="spellStart"/>
      <w:r w:rsidR="007E043A" w:rsidRPr="00BF4B4E">
        <w:rPr>
          <w:rFonts w:asciiTheme="minorHAnsi" w:hAnsiTheme="minorHAnsi" w:cstheme="minorHAnsi"/>
          <w:i/>
          <w:iCs/>
          <w:color w:val="1F3864" w:themeColor="accent5" w:themeShade="80"/>
          <w:sz w:val="22"/>
          <w:szCs w:val="22"/>
          <w:lang w:val="en-GB"/>
        </w:rPr>
        <w:t>Informação</w:t>
      </w:r>
      <w:proofErr w:type="spellEnd"/>
      <w:r w:rsidR="007E043A" w:rsidRPr="00BF4B4E">
        <w:rPr>
          <w:rFonts w:asciiTheme="minorHAnsi" w:hAnsiTheme="minorHAnsi" w:cstheme="minorHAnsi"/>
          <w:i/>
          <w:iCs/>
          <w:color w:val="1F3864" w:themeColor="accent5" w:themeShade="80"/>
          <w:sz w:val="22"/>
          <w:szCs w:val="22"/>
          <w:lang w:val="en-GB"/>
        </w:rPr>
        <w:t xml:space="preserve"> e </w:t>
      </w:r>
      <w:proofErr w:type="spellStart"/>
      <w:r w:rsidR="007E043A" w:rsidRPr="00BF4B4E">
        <w:rPr>
          <w:rFonts w:asciiTheme="minorHAnsi" w:hAnsiTheme="minorHAnsi" w:cstheme="minorHAnsi"/>
          <w:i/>
          <w:iCs/>
          <w:color w:val="1F3864" w:themeColor="accent5" w:themeShade="80"/>
          <w:sz w:val="22"/>
          <w:szCs w:val="22"/>
          <w:lang w:val="en-GB"/>
        </w:rPr>
        <w:t>Gestão</w:t>
      </w:r>
      <w:proofErr w:type="spellEnd"/>
      <w:r w:rsidR="007E043A" w:rsidRPr="00BF4B4E">
        <w:rPr>
          <w:rFonts w:asciiTheme="minorHAnsi" w:hAnsiTheme="minorHAnsi" w:cstheme="minorHAnsi"/>
          <w:i/>
          <w:iCs/>
          <w:color w:val="1F3864" w:themeColor="accent5" w:themeShade="80"/>
          <w:sz w:val="22"/>
          <w:szCs w:val="22"/>
          <w:lang w:val="en-GB"/>
        </w:rPr>
        <w:t xml:space="preserve"> </w:t>
      </w:r>
      <w:proofErr w:type="spellStart"/>
      <w:r w:rsidR="007E043A" w:rsidRPr="00BF4B4E">
        <w:rPr>
          <w:rFonts w:asciiTheme="minorHAnsi" w:hAnsiTheme="minorHAnsi" w:cstheme="minorHAnsi"/>
          <w:i/>
          <w:iCs/>
          <w:color w:val="1F3864" w:themeColor="accent5" w:themeShade="80"/>
          <w:sz w:val="22"/>
          <w:szCs w:val="22"/>
          <w:lang w:val="en-GB"/>
        </w:rPr>
        <w:t>Integrada</w:t>
      </w:r>
      <w:proofErr w:type="spellEnd"/>
      <w:r w:rsidR="00DD6E03" w:rsidRPr="00BF4B4E">
        <w:rPr>
          <w:rFonts w:asciiTheme="minorHAnsi" w:hAnsiTheme="minorHAnsi" w:cstheme="minorHAnsi"/>
          <w:color w:val="1F3864" w:themeColor="accent5" w:themeShade="80"/>
          <w:sz w:val="22"/>
          <w:szCs w:val="22"/>
          <w:lang w:val="en-GB"/>
        </w:rPr>
        <w:t>”</w:t>
      </w:r>
      <w:r w:rsidR="007E043A" w:rsidRPr="00BF4B4E">
        <w:rPr>
          <w:rFonts w:asciiTheme="minorHAnsi" w:hAnsiTheme="minorHAnsi" w:cstheme="minorHAnsi"/>
          <w:color w:val="1F3864" w:themeColor="accent5" w:themeShade="80"/>
          <w:sz w:val="22"/>
          <w:szCs w:val="22"/>
          <w:lang w:val="en-GB"/>
        </w:rPr>
        <w:t>)</w:t>
      </w:r>
      <w:r w:rsidRPr="00BF4B4E">
        <w:rPr>
          <w:rFonts w:asciiTheme="minorHAnsi" w:hAnsiTheme="minorHAnsi" w:cstheme="minorHAnsi"/>
          <w:color w:val="1F3864" w:themeColor="accent5" w:themeShade="80"/>
          <w:sz w:val="22"/>
          <w:szCs w:val="22"/>
          <w:lang w:val="en-GB"/>
        </w:rPr>
        <w:t xml:space="preserve">; </w:t>
      </w:r>
    </w:p>
    <w:p w14:paraId="5753E734" w14:textId="0CABDF25" w:rsidR="00A2117C" w:rsidRPr="00BF4B4E" w:rsidRDefault="00A2117C" w:rsidP="00014C35">
      <w:pPr>
        <w:pStyle w:val="Default"/>
        <w:numPr>
          <w:ilvl w:val="0"/>
          <w:numId w:val="3"/>
        </w:numPr>
        <w:tabs>
          <w:tab w:val="left" w:pos="1068"/>
        </w:tabs>
        <w:spacing w:before="240" w:line="276" w:lineRule="auto"/>
        <w:ind w:left="1075" w:right="111" w:hanging="357"/>
        <w:jc w:val="both"/>
        <w:rPr>
          <w:rFonts w:asciiTheme="minorHAnsi" w:hAnsiTheme="minorHAnsi" w:cstheme="minorHAnsi"/>
          <w:color w:val="1F3864" w:themeColor="accent5" w:themeShade="80"/>
          <w:sz w:val="22"/>
          <w:szCs w:val="22"/>
          <w:lang w:val="en-GB"/>
        </w:rPr>
      </w:pPr>
      <w:r w:rsidRPr="00BF4B4E">
        <w:rPr>
          <w:rFonts w:asciiTheme="minorHAnsi" w:hAnsiTheme="minorHAnsi" w:cstheme="minorHAnsi"/>
          <w:color w:val="1F3864" w:themeColor="accent5" w:themeShade="80"/>
          <w:sz w:val="22"/>
          <w:szCs w:val="22"/>
          <w:lang w:val="en-GB"/>
        </w:rPr>
        <w:t xml:space="preserve">All manuals, guidelines, and any other documents relevant to project implementation (e.g., Programme manual and call-specific Terms of Reference) in their applicable/latest version as published on the Programme website. </w:t>
      </w:r>
    </w:p>
    <w:p w14:paraId="48D98949" w14:textId="77777777" w:rsidR="00A2117C" w:rsidRPr="00BF4B4E" w:rsidRDefault="00A2117C" w:rsidP="00014C35">
      <w:pPr>
        <w:pStyle w:val="Default"/>
        <w:spacing w:before="240" w:line="276" w:lineRule="auto"/>
        <w:ind w:left="284" w:right="111"/>
        <w:jc w:val="both"/>
        <w:rPr>
          <w:rFonts w:asciiTheme="minorHAnsi" w:hAnsiTheme="minorHAnsi" w:cstheme="minorHAnsi"/>
          <w:color w:val="1F3864" w:themeColor="accent5" w:themeShade="80"/>
          <w:lang w:val="en-GB"/>
        </w:rPr>
      </w:pPr>
      <w:r w:rsidRPr="00BF4B4E">
        <w:rPr>
          <w:rFonts w:asciiTheme="minorHAnsi" w:hAnsiTheme="minorHAnsi" w:cstheme="minorHAnsi"/>
          <w:color w:val="1F3864" w:themeColor="accent5" w:themeShade="80"/>
          <w:sz w:val="22"/>
          <w:szCs w:val="22"/>
          <w:lang w:val="en-GB"/>
        </w:rPr>
        <w:lastRenderedPageBreak/>
        <w:t>In case of amendment of the above-mentioned legal norms and documents, and any other documents of relevance for the contractual relationship (</w:t>
      </w:r>
      <w:r w:rsidRPr="00BF4B4E">
        <w:rPr>
          <w:rFonts w:asciiTheme="minorHAnsi" w:hAnsiTheme="minorHAnsi" w:cstheme="minorHAnsi"/>
          <w:i/>
          <w:iCs/>
          <w:color w:val="1F3864" w:themeColor="accent5" w:themeShade="80"/>
          <w:sz w:val="22"/>
          <w:szCs w:val="22"/>
          <w:lang w:val="en-GB"/>
        </w:rPr>
        <w:t>e.g.</w:t>
      </w:r>
      <w:r w:rsidRPr="00BF4B4E">
        <w:rPr>
          <w:rFonts w:asciiTheme="minorHAnsi" w:hAnsiTheme="minorHAnsi" w:cstheme="minorHAnsi"/>
          <w:color w:val="1F3864" w:themeColor="accent5" w:themeShade="80"/>
          <w:sz w:val="22"/>
          <w:szCs w:val="22"/>
          <w:lang w:val="en-GB"/>
        </w:rPr>
        <w:t>, the project application form), the latest version shall apply</w:t>
      </w:r>
      <w:r w:rsidRPr="00BF4B4E">
        <w:rPr>
          <w:rFonts w:asciiTheme="minorHAnsi" w:hAnsiTheme="minorHAnsi" w:cstheme="minorHAnsi"/>
          <w:color w:val="1F3864" w:themeColor="accent5" w:themeShade="80"/>
          <w:lang w:val="en-GB"/>
        </w:rPr>
        <w:t>.</w:t>
      </w:r>
    </w:p>
    <w:p w14:paraId="35B358B9" w14:textId="61FFA3AB" w:rsidR="00861EE3" w:rsidRPr="00BF4B4E" w:rsidRDefault="00861EE3" w:rsidP="00014C35">
      <w:pPr>
        <w:pStyle w:val="Corpodetexto"/>
        <w:tabs>
          <w:tab w:val="left" w:pos="0"/>
        </w:tabs>
        <w:ind w:left="0"/>
        <w:rPr>
          <w:rFonts w:asciiTheme="minorHAnsi" w:hAnsiTheme="minorHAnsi" w:cs="Arial"/>
          <w:color w:val="1F3864" w:themeColor="accent5" w:themeShade="80"/>
          <w:sz w:val="22"/>
          <w:szCs w:val="22"/>
          <w:lang w:val="en-GB"/>
        </w:rPr>
      </w:pPr>
    </w:p>
    <w:p w14:paraId="3632B661" w14:textId="77777777" w:rsidR="00861EE3" w:rsidRPr="00BF4B4E" w:rsidRDefault="00861EE3" w:rsidP="00861EE3">
      <w:pPr>
        <w:spacing w:after="240"/>
        <w:jc w:val="center"/>
        <w:rPr>
          <w:rFonts w:cs="Arial"/>
          <w:b/>
          <w:color w:val="1F3864" w:themeColor="accent5" w:themeShade="80"/>
          <w:sz w:val="26"/>
          <w:szCs w:val="26"/>
        </w:rPr>
      </w:pPr>
      <w:r w:rsidRPr="00BF4B4E">
        <w:rPr>
          <w:rFonts w:cs="Arial"/>
          <w:b/>
          <w:color w:val="1F3864" w:themeColor="accent5" w:themeShade="80"/>
          <w:sz w:val="26"/>
          <w:szCs w:val="26"/>
        </w:rPr>
        <w:t>Article 2 – Subsidy Award</w:t>
      </w:r>
    </w:p>
    <w:p w14:paraId="528B82BA" w14:textId="5547789C" w:rsidR="00861EE3" w:rsidRPr="00BF4B4E" w:rsidRDefault="00861EE3" w:rsidP="00861EE3">
      <w:pPr>
        <w:widowControl w:val="0"/>
        <w:tabs>
          <w:tab w:val="left" w:pos="-1440"/>
          <w:tab w:val="left" w:pos="0"/>
          <w:tab w:val="left" w:pos="284"/>
        </w:tabs>
        <w:suppressAutoHyphens/>
        <w:spacing w:after="240" w:line="276" w:lineRule="auto"/>
        <w:jc w:val="both"/>
        <w:rPr>
          <w:color w:val="1F3864" w:themeColor="accent5" w:themeShade="80"/>
        </w:rPr>
      </w:pPr>
      <w:r w:rsidRPr="00BF4B4E">
        <w:rPr>
          <w:color w:val="1F3864" w:themeColor="accent5" w:themeShade="80"/>
        </w:rPr>
        <w:t xml:space="preserve">Based on the latest version of the application form (hereinafter referred to as PAF - Project Approved Form) and the amending documents, in </w:t>
      </w:r>
      <w:r w:rsidRPr="00BF4B4E">
        <w:rPr>
          <w:rFonts w:cs="Arial"/>
          <w:color w:val="1F3864" w:themeColor="accent5" w:themeShade="80"/>
        </w:rPr>
        <w:t>accordance</w:t>
      </w:r>
      <w:r w:rsidRPr="00BF4B4E">
        <w:rPr>
          <w:color w:val="1F3864" w:themeColor="accent5" w:themeShade="80"/>
        </w:rPr>
        <w:t xml:space="preserve"> with the decision of the Programme MC and possible amending decisions, earmarked subsidies can be awarded to project partners in </w:t>
      </w:r>
      <w:r w:rsidR="002775C6" w:rsidRPr="00BF4B4E">
        <w:rPr>
          <w:color w:val="1F3864" w:themeColor="accent5" w:themeShade="80"/>
          <w:highlight w:val="yellow"/>
        </w:rPr>
        <w:t>……</w:t>
      </w:r>
      <w:proofErr w:type="gramStart"/>
      <w:r w:rsidR="002775C6" w:rsidRPr="00BF4B4E">
        <w:rPr>
          <w:color w:val="1F3864" w:themeColor="accent5" w:themeShade="80"/>
          <w:highlight w:val="yellow"/>
        </w:rPr>
        <w:t>…..</w:t>
      </w:r>
      <w:proofErr w:type="gramEnd"/>
    </w:p>
    <w:p w14:paraId="4D22EB18" w14:textId="148F8AA1" w:rsidR="00861EE3" w:rsidRPr="00BF4B4E" w:rsidRDefault="00861EE3" w:rsidP="00861EE3">
      <w:pPr>
        <w:widowControl w:val="0"/>
        <w:tabs>
          <w:tab w:val="left" w:pos="-1440"/>
          <w:tab w:val="left" w:pos="0"/>
          <w:tab w:val="left" w:pos="284"/>
        </w:tabs>
        <w:suppressAutoHyphens/>
        <w:spacing w:before="120" w:line="276" w:lineRule="auto"/>
        <w:jc w:val="both"/>
        <w:rPr>
          <w:color w:val="1F3864" w:themeColor="accent5" w:themeShade="80"/>
        </w:rPr>
      </w:pPr>
      <w:r w:rsidRPr="00BF4B4E">
        <w:rPr>
          <w:color w:val="1F3864" w:themeColor="accent5" w:themeShade="80"/>
        </w:rPr>
        <w:t xml:space="preserve">The country will inform the Joint Secretariat of any relevant issues concerning </w:t>
      </w:r>
      <w:r w:rsidR="002775C6" w:rsidRPr="00BF4B4E">
        <w:rPr>
          <w:color w:val="1F3864" w:themeColor="accent5" w:themeShade="80"/>
          <w:highlight w:val="yellow"/>
        </w:rPr>
        <w:t>……</w:t>
      </w:r>
      <w:proofErr w:type="gramStart"/>
      <w:r w:rsidRPr="00BF4B4E">
        <w:rPr>
          <w:color w:val="1F3864" w:themeColor="accent5" w:themeShade="80"/>
          <w:highlight w:val="yellow"/>
        </w:rPr>
        <w:t>partners</w:t>
      </w:r>
      <w:r w:rsidRPr="00BF4B4E">
        <w:rPr>
          <w:color w:val="1F3864" w:themeColor="accent5" w:themeShade="80"/>
        </w:rPr>
        <w:t>, when</w:t>
      </w:r>
      <w:proofErr w:type="gramEnd"/>
      <w:r w:rsidRPr="00BF4B4E">
        <w:rPr>
          <w:color w:val="1F3864" w:themeColor="accent5" w:themeShade="80"/>
        </w:rPr>
        <w:t xml:space="preserve"> they hear of it. If deemed relevant, </w:t>
      </w:r>
      <w:r w:rsidR="002775C6" w:rsidRPr="00BF4B4E">
        <w:rPr>
          <w:color w:val="1F3864" w:themeColor="accent5" w:themeShade="80"/>
        </w:rPr>
        <w:t>t</w:t>
      </w:r>
      <w:r w:rsidRPr="00BF4B4E">
        <w:rPr>
          <w:color w:val="1F3864" w:themeColor="accent5" w:themeShade="80"/>
        </w:rPr>
        <w:t xml:space="preserve">he </w:t>
      </w:r>
      <w:r w:rsidR="002775C6" w:rsidRPr="00BF4B4E">
        <w:rPr>
          <w:color w:val="1F3864" w:themeColor="accent5" w:themeShade="80"/>
          <w:highlight w:val="yellow"/>
        </w:rPr>
        <w:t>……….</w:t>
      </w:r>
      <w:r w:rsidRPr="00BF4B4E">
        <w:rPr>
          <w:color w:val="1F3864" w:themeColor="accent5" w:themeShade="80"/>
        </w:rPr>
        <w:t xml:space="preserve"> will perform a solvency check on the partner. The final ERDF amount to be awarded is conditioned to the work plan implementation as presented in the Project Approved Form (PAF) and will be calculated based on paid and duly certified expenditures, after deduction of eventual incomes, generated and received.</w:t>
      </w:r>
    </w:p>
    <w:p w14:paraId="4FA1C32C" w14:textId="77777777" w:rsidR="00861EE3" w:rsidRPr="00BF4B4E" w:rsidRDefault="00861EE3" w:rsidP="00861EE3">
      <w:pPr>
        <w:widowControl w:val="0"/>
        <w:tabs>
          <w:tab w:val="left" w:pos="-1440"/>
          <w:tab w:val="left" w:pos="0"/>
          <w:tab w:val="left" w:pos="284"/>
        </w:tabs>
        <w:suppressAutoHyphens/>
        <w:spacing w:before="120" w:line="276" w:lineRule="auto"/>
        <w:jc w:val="both"/>
        <w:rPr>
          <w:color w:val="1F3864" w:themeColor="accent5" w:themeShade="80"/>
        </w:rPr>
      </w:pPr>
      <w:r w:rsidRPr="00BF4B4E">
        <w:rPr>
          <w:color w:val="1F3864" w:themeColor="accent5" w:themeShade="80"/>
        </w:rPr>
        <w:t>Considerable underspending of ERDF by the partner could lead to a decommitment procedure that shall be approved by the Programme MC.</w:t>
      </w:r>
    </w:p>
    <w:p w14:paraId="0BC94575" w14:textId="77777777" w:rsidR="00861EE3" w:rsidRPr="00BF4B4E" w:rsidRDefault="00861EE3" w:rsidP="00861EE3">
      <w:pPr>
        <w:widowControl w:val="0"/>
        <w:tabs>
          <w:tab w:val="left" w:pos="-1440"/>
          <w:tab w:val="left" w:pos="0"/>
          <w:tab w:val="left" w:pos="284"/>
        </w:tabs>
        <w:suppressAutoHyphens/>
        <w:spacing w:before="120" w:line="276" w:lineRule="auto"/>
        <w:jc w:val="both"/>
        <w:rPr>
          <w:color w:val="1F3864" w:themeColor="accent5" w:themeShade="80"/>
        </w:rPr>
      </w:pPr>
      <w:r w:rsidRPr="00BF4B4E">
        <w:rPr>
          <w:color w:val="1F3864" w:themeColor="accent5" w:themeShade="80"/>
        </w:rPr>
        <w:t>Programme co-financing to these partners can only be available after this Agreement signature. The management, financial and control systems of the country where the project partners are located must be presented. The document should define</w:t>
      </w:r>
      <w:proofErr w:type="gramStart"/>
      <w:r w:rsidRPr="00BF4B4E">
        <w:rPr>
          <w:color w:val="1F3864" w:themeColor="accent5" w:themeShade="80"/>
        </w:rPr>
        <w:t>, in particular, the</w:t>
      </w:r>
      <w:proofErr w:type="gramEnd"/>
      <w:r w:rsidRPr="00BF4B4E">
        <w:rPr>
          <w:color w:val="1F3864" w:themeColor="accent5" w:themeShade="80"/>
        </w:rPr>
        <w:t xml:space="preserve"> provisions on financial control of expenditure. </w:t>
      </w:r>
    </w:p>
    <w:p w14:paraId="43AEE476" w14:textId="77777777" w:rsidR="00861EE3" w:rsidRPr="00BF4B4E" w:rsidRDefault="00861EE3" w:rsidP="00861EE3">
      <w:pPr>
        <w:autoSpaceDE w:val="0"/>
        <w:autoSpaceDN w:val="0"/>
        <w:adjustRightInd w:val="0"/>
        <w:spacing w:line="276" w:lineRule="auto"/>
        <w:rPr>
          <w:color w:val="1F3864" w:themeColor="accent5" w:themeShade="80"/>
        </w:rPr>
      </w:pPr>
    </w:p>
    <w:p w14:paraId="277F6699" w14:textId="77777777" w:rsidR="00861EE3" w:rsidRPr="00BF4B4E" w:rsidRDefault="00861EE3" w:rsidP="00861EE3">
      <w:pPr>
        <w:tabs>
          <w:tab w:val="left" w:pos="1440"/>
        </w:tabs>
        <w:spacing w:line="276" w:lineRule="auto"/>
        <w:ind w:left="1134" w:hanging="1134"/>
        <w:jc w:val="center"/>
        <w:rPr>
          <w:rFonts w:cs="Arial"/>
          <w:b/>
          <w:color w:val="1F3864" w:themeColor="accent5" w:themeShade="80"/>
          <w:sz w:val="26"/>
          <w:szCs w:val="26"/>
        </w:rPr>
      </w:pPr>
      <w:r w:rsidRPr="00BF4B4E">
        <w:rPr>
          <w:rFonts w:cs="Arial"/>
          <w:b/>
          <w:color w:val="1F3864" w:themeColor="accent5" w:themeShade="80"/>
          <w:sz w:val="26"/>
          <w:szCs w:val="26"/>
        </w:rPr>
        <w:t>Article 3 – Object of use and eligibility of costs</w:t>
      </w:r>
    </w:p>
    <w:p w14:paraId="5D8FCC5A" w14:textId="77777777" w:rsidR="00861EE3" w:rsidRPr="00BF4B4E" w:rsidRDefault="00861EE3" w:rsidP="00EA5097">
      <w:pPr>
        <w:widowControl w:val="0"/>
        <w:numPr>
          <w:ilvl w:val="0"/>
          <w:numId w:val="5"/>
        </w:numPr>
        <w:tabs>
          <w:tab w:val="left" w:pos="-1440"/>
          <w:tab w:val="left" w:pos="0"/>
          <w:tab w:val="left" w:pos="284"/>
        </w:tabs>
        <w:suppressAutoHyphens/>
        <w:spacing w:before="120" w:after="0" w:line="276" w:lineRule="auto"/>
        <w:ind w:left="284" w:hanging="284"/>
        <w:jc w:val="both"/>
        <w:rPr>
          <w:color w:val="1F3864" w:themeColor="accent5" w:themeShade="80"/>
        </w:rPr>
      </w:pPr>
      <w:r w:rsidRPr="00BF4B4E">
        <w:rPr>
          <w:color w:val="1F3864" w:themeColor="accent5" w:themeShade="80"/>
        </w:rPr>
        <w:t>The subsidy is awarded exclusively for the project as described in the latest version of the PAF in accordance with the conditions set out by the MC. The PAF and its annexes, as approved by the MC, form an integral part of this contract.</w:t>
      </w:r>
    </w:p>
    <w:p w14:paraId="709F918D" w14:textId="1E1D8107" w:rsidR="00861EE3" w:rsidRPr="00BF4B4E" w:rsidRDefault="00861EE3" w:rsidP="00EA5097">
      <w:pPr>
        <w:widowControl w:val="0"/>
        <w:numPr>
          <w:ilvl w:val="0"/>
          <w:numId w:val="5"/>
        </w:numPr>
        <w:tabs>
          <w:tab w:val="left" w:pos="-1440"/>
          <w:tab w:val="left" w:pos="0"/>
          <w:tab w:val="left" w:pos="284"/>
        </w:tabs>
        <w:suppressAutoHyphens/>
        <w:spacing w:before="120" w:after="0" w:line="276" w:lineRule="auto"/>
        <w:ind w:left="284" w:hanging="284"/>
        <w:jc w:val="both"/>
        <w:rPr>
          <w:color w:val="1F3864" w:themeColor="accent5" w:themeShade="80"/>
        </w:rPr>
      </w:pPr>
      <w:r w:rsidRPr="00BF4B4E">
        <w:rPr>
          <w:color w:val="1F3864" w:themeColor="accent5" w:themeShade="80"/>
        </w:rPr>
        <w:t xml:space="preserve">Disbursement of the subsidy is subject to the condition that the European Commission makes the funds available. In case of non-availability of </w:t>
      </w:r>
      <w:r w:rsidR="00DD6E03" w:rsidRPr="00BF4B4E">
        <w:rPr>
          <w:color w:val="1F3864" w:themeColor="accent5" w:themeShade="80"/>
        </w:rPr>
        <w:t>funds,</w:t>
      </w:r>
      <w:r w:rsidRPr="00BF4B4E">
        <w:rPr>
          <w:color w:val="1F3864" w:themeColor="accent5" w:themeShade="80"/>
        </w:rPr>
        <w:t xml:space="preserve"> the MA cannot be deemed responsible for late or missing payments.  </w:t>
      </w:r>
    </w:p>
    <w:p w14:paraId="349FCDE7" w14:textId="26B151F4" w:rsidR="00861EE3" w:rsidRPr="00BF4B4E" w:rsidRDefault="00861EE3" w:rsidP="00EA5097">
      <w:pPr>
        <w:widowControl w:val="0"/>
        <w:numPr>
          <w:ilvl w:val="0"/>
          <w:numId w:val="5"/>
        </w:numPr>
        <w:tabs>
          <w:tab w:val="left" w:pos="-1440"/>
          <w:tab w:val="left" w:pos="0"/>
          <w:tab w:val="left" w:pos="284"/>
        </w:tabs>
        <w:suppressAutoHyphens/>
        <w:spacing w:before="120" w:after="0" w:line="276" w:lineRule="auto"/>
        <w:ind w:left="284" w:hanging="284"/>
        <w:jc w:val="both"/>
        <w:rPr>
          <w:color w:val="1F3864" w:themeColor="accent5" w:themeShade="80"/>
        </w:rPr>
      </w:pPr>
      <w:r w:rsidRPr="00BF4B4E">
        <w:rPr>
          <w:iCs/>
          <w:color w:val="1F3864" w:themeColor="accent5" w:themeShade="80"/>
        </w:rPr>
        <w:t xml:space="preserve">If the European Commission fails to make the funds available due to reasons outside of the sphere of influence of the programme, the MA is entitled to terminate this </w:t>
      </w:r>
      <w:r w:rsidR="00DD6E03" w:rsidRPr="00BF4B4E">
        <w:rPr>
          <w:iCs/>
          <w:color w:val="1F3864" w:themeColor="accent5" w:themeShade="80"/>
        </w:rPr>
        <w:t xml:space="preserve">Agreement </w:t>
      </w:r>
      <w:r w:rsidRPr="00BF4B4E">
        <w:rPr>
          <w:iCs/>
          <w:color w:val="1F3864" w:themeColor="accent5" w:themeShade="80"/>
        </w:rPr>
        <w:t>and any claim by the partner against the MA for whatever reason is excluded. In such a case</w:t>
      </w:r>
      <w:r w:rsidR="00DD6E03" w:rsidRPr="00BF4B4E">
        <w:rPr>
          <w:iCs/>
          <w:color w:val="1F3864" w:themeColor="accent5" w:themeShade="80"/>
        </w:rPr>
        <w:t>,</w:t>
      </w:r>
      <w:r w:rsidRPr="00BF4B4E">
        <w:rPr>
          <w:iCs/>
          <w:color w:val="1F3864" w:themeColor="accent5" w:themeShade="80"/>
        </w:rPr>
        <w:t xml:space="preserve"> the country and partner will be duly notified by the MA and guided on the respective steps to be taken.</w:t>
      </w:r>
    </w:p>
    <w:p w14:paraId="71AADE2C" w14:textId="77777777" w:rsidR="00861EE3" w:rsidRPr="00BF4B4E" w:rsidRDefault="00861EE3" w:rsidP="00EA5097">
      <w:pPr>
        <w:widowControl w:val="0"/>
        <w:numPr>
          <w:ilvl w:val="0"/>
          <w:numId w:val="5"/>
        </w:numPr>
        <w:tabs>
          <w:tab w:val="left" w:pos="-1440"/>
          <w:tab w:val="left" w:pos="0"/>
          <w:tab w:val="left" w:pos="284"/>
        </w:tabs>
        <w:suppressAutoHyphens/>
        <w:spacing w:before="120" w:after="0" w:line="276" w:lineRule="auto"/>
        <w:ind w:left="284" w:hanging="284"/>
        <w:jc w:val="both"/>
        <w:rPr>
          <w:iCs/>
          <w:color w:val="1F3864" w:themeColor="accent5" w:themeShade="80"/>
        </w:rPr>
      </w:pPr>
      <w:r w:rsidRPr="00BF4B4E">
        <w:rPr>
          <w:iCs/>
          <w:color w:val="1F3864" w:themeColor="accent5" w:themeShade="80"/>
        </w:rPr>
        <w:t xml:space="preserve">The country accepts the Agreement and understands that the partner carries out activities in the project under its own responsibility as laid out in the European Structural and Investment Funds Regulations, delegated and implementing acts or the programme rules based thereon. </w:t>
      </w:r>
    </w:p>
    <w:p w14:paraId="431A3439" w14:textId="77777777" w:rsidR="00861EE3" w:rsidRPr="00BF4B4E" w:rsidRDefault="00861EE3" w:rsidP="00EA5097">
      <w:pPr>
        <w:widowControl w:val="0"/>
        <w:numPr>
          <w:ilvl w:val="0"/>
          <w:numId w:val="5"/>
        </w:numPr>
        <w:tabs>
          <w:tab w:val="left" w:pos="-1440"/>
          <w:tab w:val="left" w:pos="0"/>
          <w:tab w:val="left" w:pos="284"/>
        </w:tabs>
        <w:suppressAutoHyphens/>
        <w:spacing w:before="120" w:after="0" w:line="276" w:lineRule="auto"/>
        <w:ind w:left="284" w:hanging="284"/>
        <w:jc w:val="both"/>
        <w:rPr>
          <w:color w:val="1F3864" w:themeColor="accent5" w:themeShade="80"/>
        </w:rPr>
      </w:pPr>
      <w:r w:rsidRPr="00BF4B4E">
        <w:rPr>
          <w:color w:val="1F3864" w:themeColor="accent5" w:themeShade="80"/>
        </w:rPr>
        <w:t xml:space="preserve">Should it become evident that the partner will not spend the maximum amount of ERDF-co-financing </w:t>
      </w:r>
      <w:r w:rsidRPr="00BF4B4E">
        <w:rPr>
          <w:iCs/>
          <w:color w:val="1F3864" w:themeColor="accent5" w:themeShade="80"/>
        </w:rPr>
        <w:t>awarded</w:t>
      </w:r>
      <w:r w:rsidRPr="00BF4B4E">
        <w:rPr>
          <w:color w:val="1F3864" w:themeColor="accent5" w:themeShade="80"/>
        </w:rPr>
        <w:t>, the MC may decide to reduce it.</w:t>
      </w:r>
    </w:p>
    <w:p w14:paraId="5F523A75" w14:textId="7BA1D394" w:rsidR="00861EE3" w:rsidRPr="00BF4B4E" w:rsidRDefault="00861EE3" w:rsidP="00EA5097">
      <w:pPr>
        <w:widowControl w:val="0"/>
        <w:numPr>
          <w:ilvl w:val="0"/>
          <w:numId w:val="5"/>
        </w:numPr>
        <w:tabs>
          <w:tab w:val="left" w:pos="-1440"/>
          <w:tab w:val="left" w:pos="0"/>
          <w:tab w:val="left" w:pos="284"/>
        </w:tabs>
        <w:suppressAutoHyphens/>
        <w:spacing w:before="120" w:after="0" w:line="276" w:lineRule="auto"/>
        <w:ind w:left="284" w:hanging="284"/>
        <w:jc w:val="both"/>
        <w:rPr>
          <w:color w:val="1F3864" w:themeColor="accent5" w:themeShade="80"/>
        </w:rPr>
      </w:pPr>
      <w:r w:rsidRPr="00BF4B4E">
        <w:rPr>
          <w:iCs/>
          <w:color w:val="1F3864" w:themeColor="accent5" w:themeShade="80"/>
        </w:rPr>
        <w:t>Budget disbursement</w:t>
      </w:r>
      <w:r w:rsidRPr="00BF4B4E">
        <w:rPr>
          <w:color w:val="1F3864" w:themeColor="accent5" w:themeShade="80"/>
        </w:rPr>
        <w:t xml:space="preserve"> is subject to the condition that this Agreement is signed by </w:t>
      </w:r>
      <w:r w:rsidR="00DD6E03" w:rsidRPr="00BF4B4E">
        <w:rPr>
          <w:color w:val="1F3864" w:themeColor="accent5" w:themeShade="80"/>
        </w:rPr>
        <w:t>both</w:t>
      </w:r>
      <w:r w:rsidRPr="00BF4B4E">
        <w:rPr>
          <w:color w:val="1F3864" w:themeColor="accent5" w:themeShade="80"/>
        </w:rPr>
        <w:t xml:space="preserve"> parties.</w:t>
      </w:r>
    </w:p>
    <w:p w14:paraId="70998CD8" w14:textId="0A3EE216" w:rsidR="00861EE3" w:rsidRPr="00BF4B4E" w:rsidRDefault="00DD6E03" w:rsidP="00EA5097">
      <w:pPr>
        <w:widowControl w:val="0"/>
        <w:numPr>
          <w:ilvl w:val="0"/>
          <w:numId w:val="5"/>
        </w:numPr>
        <w:tabs>
          <w:tab w:val="left" w:pos="-1440"/>
          <w:tab w:val="left" w:pos="0"/>
          <w:tab w:val="left" w:pos="284"/>
        </w:tabs>
        <w:suppressAutoHyphens/>
        <w:spacing w:before="120" w:after="0" w:line="276" w:lineRule="auto"/>
        <w:jc w:val="both"/>
        <w:rPr>
          <w:iCs/>
          <w:color w:val="1F3864" w:themeColor="accent5" w:themeShade="80"/>
        </w:rPr>
      </w:pPr>
      <w:r w:rsidRPr="00BF4B4E">
        <w:rPr>
          <w:iCs/>
          <w:color w:val="1F3864" w:themeColor="accent5" w:themeShade="80"/>
        </w:rPr>
        <w:lastRenderedPageBreak/>
        <w:t>N</w:t>
      </w:r>
      <w:r w:rsidR="00861EE3" w:rsidRPr="00BF4B4E">
        <w:rPr>
          <w:iCs/>
          <w:color w:val="1F3864" w:themeColor="accent5" w:themeShade="80"/>
        </w:rPr>
        <w:t>on-compliance with the relevant rules could lead the programme authorities to take corrective measures and exclude from the project budget ineligible expenditure.</w:t>
      </w:r>
    </w:p>
    <w:p w14:paraId="4DBD1B5A" w14:textId="77777777" w:rsidR="00861EE3" w:rsidRPr="00BF4B4E" w:rsidRDefault="00861EE3" w:rsidP="00861EE3">
      <w:pPr>
        <w:autoSpaceDE w:val="0"/>
        <w:autoSpaceDN w:val="0"/>
        <w:adjustRightInd w:val="0"/>
        <w:spacing w:line="276" w:lineRule="auto"/>
        <w:jc w:val="both"/>
        <w:rPr>
          <w:color w:val="1F3864" w:themeColor="accent5" w:themeShade="80"/>
        </w:rPr>
      </w:pPr>
    </w:p>
    <w:p w14:paraId="6ACF2049" w14:textId="77777777" w:rsidR="00861EE3" w:rsidRPr="00BF4B4E" w:rsidRDefault="00861EE3" w:rsidP="00861EE3">
      <w:pPr>
        <w:tabs>
          <w:tab w:val="left" w:pos="1440"/>
        </w:tabs>
        <w:spacing w:line="276" w:lineRule="auto"/>
        <w:jc w:val="center"/>
        <w:rPr>
          <w:rFonts w:cs="Arial"/>
          <w:b/>
          <w:color w:val="1F3864" w:themeColor="accent5" w:themeShade="80"/>
          <w:sz w:val="26"/>
          <w:szCs w:val="26"/>
        </w:rPr>
      </w:pPr>
      <w:r w:rsidRPr="00BF4B4E">
        <w:rPr>
          <w:rFonts w:cs="Arial"/>
          <w:b/>
          <w:color w:val="1F3864" w:themeColor="accent5" w:themeShade="80"/>
          <w:sz w:val="26"/>
          <w:szCs w:val="26"/>
        </w:rPr>
        <w:t>Article 4 – Project and Agreement duration</w:t>
      </w:r>
    </w:p>
    <w:p w14:paraId="2716937F" w14:textId="77777777" w:rsidR="00861EE3" w:rsidRPr="00BF4B4E" w:rsidRDefault="00861EE3" w:rsidP="00EA5097">
      <w:pPr>
        <w:widowControl w:val="0"/>
        <w:numPr>
          <w:ilvl w:val="0"/>
          <w:numId w:val="6"/>
        </w:numPr>
        <w:tabs>
          <w:tab w:val="left" w:pos="-1440"/>
          <w:tab w:val="left" w:pos="0"/>
          <w:tab w:val="left" w:pos="284"/>
        </w:tabs>
        <w:suppressAutoHyphens/>
        <w:spacing w:before="120" w:after="0" w:line="276" w:lineRule="auto"/>
        <w:ind w:left="284" w:hanging="284"/>
        <w:jc w:val="both"/>
        <w:rPr>
          <w:color w:val="1F3864" w:themeColor="accent5" w:themeShade="80"/>
        </w:rPr>
      </w:pPr>
      <w:r w:rsidRPr="00BF4B4E">
        <w:rPr>
          <w:color w:val="1F3864" w:themeColor="accent5" w:themeShade="80"/>
        </w:rPr>
        <w:t xml:space="preserve">The Project start date is the date of notification of MC’s approval by MA/JS. The project has a duration as provided for in the latest version of the PAF. </w:t>
      </w:r>
    </w:p>
    <w:p w14:paraId="28253618" w14:textId="77777777" w:rsidR="00861EE3" w:rsidRPr="00BF4B4E" w:rsidRDefault="00861EE3" w:rsidP="00EA5097">
      <w:pPr>
        <w:widowControl w:val="0"/>
        <w:numPr>
          <w:ilvl w:val="0"/>
          <w:numId w:val="6"/>
        </w:numPr>
        <w:tabs>
          <w:tab w:val="left" w:pos="-1440"/>
          <w:tab w:val="left" w:pos="0"/>
          <w:tab w:val="left" w:pos="284"/>
        </w:tabs>
        <w:suppressAutoHyphens/>
        <w:spacing w:before="120" w:after="0" w:line="276" w:lineRule="auto"/>
        <w:ind w:left="284" w:hanging="284"/>
        <w:jc w:val="both"/>
        <w:rPr>
          <w:color w:val="1F3864" w:themeColor="accent5" w:themeShade="80"/>
        </w:rPr>
      </w:pPr>
      <w:r w:rsidRPr="00BF4B4E">
        <w:rPr>
          <w:color w:val="1F3864" w:themeColor="accent5" w:themeShade="80"/>
        </w:rPr>
        <w:t>This Agreement enters into force on the date of signature by both parties and is valid until the declaration of closure of the project by the MA.</w:t>
      </w:r>
    </w:p>
    <w:p w14:paraId="36991115" w14:textId="65E8CBB5" w:rsidR="00861EE3" w:rsidRPr="00BF4B4E" w:rsidRDefault="00861EE3" w:rsidP="00EA5097">
      <w:pPr>
        <w:widowControl w:val="0"/>
        <w:numPr>
          <w:ilvl w:val="0"/>
          <w:numId w:val="6"/>
        </w:numPr>
        <w:tabs>
          <w:tab w:val="left" w:pos="-1440"/>
          <w:tab w:val="left" w:pos="0"/>
          <w:tab w:val="left" w:pos="284"/>
        </w:tabs>
        <w:suppressAutoHyphens/>
        <w:spacing w:before="120" w:after="0" w:line="276" w:lineRule="auto"/>
        <w:ind w:left="284" w:hanging="284"/>
        <w:jc w:val="both"/>
        <w:rPr>
          <w:color w:val="1F3864" w:themeColor="accent5" w:themeShade="80"/>
        </w:rPr>
      </w:pPr>
      <w:r w:rsidRPr="00BF4B4E">
        <w:rPr>
          <w:color w:val="1F3864" w:themeColor="accent5" w:themeShade="80"/>
        </w:rPr>
        <w:t xml:space="preserve">Without prejudice to the provision regarding the project implementation and the eligibility of expenditure as well as to the rules governing State Aid, this Agreement expires in accordance with obligations on availability of documents as defined in Article </w:t>
      </w:r>
      <w:r w:rsidR="00E77A01" w:rsidRPr="00BF4B4E">
        <w:rPr>
          <w:color w:val="1F3864" w:themeColor="accent5" w:themeShade="80"/>
        </w:rPr>
        <w:t xml:space="preserve">82 </w:t>
      </w:r>
      <w:r w:rsidRPr="00BF4B4E">
        <w:rPr>
          <w:color w:val="1F3864" w:themeColor="accent5" w:themeShade="80"/>
        </w:rPr>
        <w:t xml:space="preserve">of Regulation (EU) No </w:t>
      </w:r>
      <w:r w:rsidR="00E77A01" w:rsidRPr="00BF4B4E">
        <w:rPr>
          <w:color w:val="1F3864" w:themeColor="accent5" w:themeShade="80"/>
        </w:rPr>
        <w:t>2021</w:t>
      </w:r>
      <w:r w:rsidRPr="00BF4B4E">
        <w:rPr>
          <w:color w:val="1F3864" w:themeColor="accent5" w:themeShade="80"/>
        </w:rPr>
        <w:t>/</w:t>
      </w:r>
      <w:r w:rsidR="00E77A01" w:rsidRPr="00BF4B4E">
        <w:rPr>
          <w:color w:val="1F3864" w:themeColor="accent5" w:themeShade="80"/>
        </w:rPr>
        <w:t>1060</w:t>
      </w:r>
      <w:r w:rsidRPr="00BF4B4E">
        <w:rPr>
          <w:color w:val="1F3864" w:themeColor="accent5" w:themeShade="80"/>
        </w:rPr>
        <w:t>.</w:t>
      </w:r>
    </w:p>
    <w:p w14:paraId="29312EB8" w14:textId="77777777" w:rsidR="00861EE3" w:rsidRPr="00BF4B4E" w:rsidRDefault="00861EE3" w:rsidP="00861EE3">
      <w:pPr>
        <w:widowControl w:val="0"/>
        <w:tabs>
          <w:tab w:val="left" w:pos="-1440"/>
          <w:tab w:val="left" w:pos="0"/>
          <w:tab w:val="left" w:pos="284"/>
        </w:tabs>
        <w:suppressAutoHyphens/>
        <w:spacing w:line="276" w:lineRule="auto"/>
        <w:rPr>
          <w:color w:val="1F3864" w:themeColor="accent5" w:themeShade="80"/>
        </w:rPr>
      </w:pPr>
    </w:p>
    <w:p w14:paraId="5EDA0562" w14:textId="77777777" w:rsidR="00861EE3" w:rsidRPr="00BF4B4E" w:rsidRDefault="00861EE3" w:rsidP="00861EE3">
      <w:pPr>
        <w:tabs>
          <w:tab w:val="left" w:pos="1440"/>
        </w:tabs>
        <w:spacing w:line="288" w:lineRule="auto"/>
        <w:jc w:val="center"/>
        <w:rPr>
          <w:rFonts w:cs="Arial"/>
          <w:b/>
          <w:color w:val="1F3864" w:themeColor="accent5" w:themeShade="80"/>
          <w:sz w:val="26"/>
          <w:szCs w:val="26"/>
        </w:rPr>
      </w:pPr>
      <w:r w:rsidRPr="00BF4B4E">
        <w:rPr>
          <w:rFonts w:cs="Arial"/>
          <w:b/>
          <w:color w:val="1F3864" w:themeColor="accent5" w:themeShade="80"/>
          <w:sz w:val="26"/>
          <w:szCs w:val="26"/>
        </w:rPr>
        <w:t xml:space="preserve">Article 5 – Payments </w:t>
      </w:r>
    </w:p>
    <w:p w14:paraId="6D0D77CF" w14:textId="0EB0E39B" w:rsidR="00861EE3" w:rsidRPr="00BF4B4E" w:rsidRDefault="00861EE3" w:rsidP="00EA5097">
      <w:pPr>
        <w:widowControl w:val="0"/>
        <w:numPr>
          <w:ilvl w:val="0"/>
          <w:numId w:val="7"/>
        </w:numPr>
        <w:tabs>
          <w:tab w:val="left" w:pos="-1440"/>
          <w:tab w:val="left" w:pos="0"/>
          <w:tab w:val="left" w:pos="284"/>
        </w:tabs>
        <w:suppressAutoHyphens/>
        <w:spacing w:before="120" w:after="0" w:line="276" w:lineRule="auto"/>
        <w:ind w:left="284" w:hanging="284"/>
        <w:jc w:val="both"/>
        <w:rPr>
          <w:color w:val="1F3864" w:themeColor="accent5" w:themeShade="80"/>
        </w:rPr>
      </w:pPr>
      <w:r w:rsidRPr="00BF4B4E">
        <w:rPr>
          <w:color w:val="1F3864" w:themeColor="accent5" w:themeShade="80"/>
        </w:rPr>
        <w:t xml:space="preserve">The funds will be disbursed in Euro (EUR; €) only. Any exchange rate risk will be borne by the partners. The subsidy will be transferred to the account as indicated by the LP in the PAF. Whenever possible, the account should be of specific project use or with an adequate accounting code. They must be verified </w:t>
      </w:r>
      <w:r w:rsidR="00E77A01" w:rsidRPr="00BF4B4E">
        <w:rPr>
          <w:color w:val="1F3864" w:themeColor="accent5" w:themeShade="80"/>
        </w:rPr>
        <w:t>as defined in the</w:t>
      </w:r>
      <w:r w:rsidRPr="00BF4B4E">
        <w:rPr>
          <w:color w:val="1F3864" w:themeColor="accent5" w:themeShade="80"/>
        </w:rPr>
        <w:t xml:space="preserve"> Regulation (EU) </w:t>
      </w:r>
      <w:r w:rsidR="00E77A01" w:rsidRPr="00BF4B4E">
        <w:rPr>
          <w:color w:val="1F3864" w:themeColor="accent5" w:themeShade="80"/>
        </w:rPr>
        <w:t>No 2021/1060, Article 74 (1) and following the Programme Manual</w:t>
      </w:r>
    </w:p>
    <w:p w14:paraId="38BA4007" w14:textId="77777777" w:rsidR="00861EE3" w:rsidRPr="00BF4B4E" w:rsidRDefault="00861EE3" w:rsidP="00EA5097">
      <w:pPr>
        <w:widowControl w:val="0"/>
        <w:numPr>
          <w:ilvl w:val="0"/>
          <w:numId w:val="7"/>
        </w:numPr>
        <w:tabs>
          <w:tab w:val="left" w:pos="-1440"/>
          <w:tab w:val="left" w:pos="0"/>
          <w:tab w:val="left" w:pos="284"/>
        </w:tabs>
        <w:suppressAutoHyphens/>
        <w:spacing w:before="120" w:after="0" w:line="276" w:lineRule="auto"/>
        <w:ind w:left="284" w:hanging="284"/>
        <w:jc w:val="both"/>
        <w:rPr>
          <w:color w:val="1F3864" w:themeColor="accent5" w:themeShade="80"/>
        </w:rPr>
      </w:pPr>
      <w:r w:rsidRPr="00BF4B4E">
        <w:rPr>
          <w:color w:val="1F3864" w:themeColor="accent5" w:themeShade="80"/>
        </w:rPr>
        <w:t>By paying out the subsidy according to this Agreement, the MA fulfils its obligations resulting from it.</w:t>
      </w:r>
    </w:p>
    <w:p w14:paraId="5C3721E3" w14:textId="49E22490" w:rsidR="00861EE3" w:rsidRPr="00BF4B4E" w:rsidRDefault="00861EE3" w:rsidP="00EA5097">
      <w:pPr>
        <w:widowControl w:val="0"/>
        <w:numPr>
          <w:ilvl w:val="0"/>
          <w:numId w:val="7"/>
        </w:numPr>
        <w:tabs>
          <w:tab w:val="left" w:pos="-1440"/>
          <w:tab w:val="left" w:pos="0"/>
          <w:tab w:val="left" w:pos="284"/>
        </w:tabs>
        <w:suppressAutoHyphens/>
        <w:spacing w:before="120" w:after="0" w:line="276" w:lineRule="auto"/>
        <w:ind w:left="284" w:hanging="284"/>
        <w:jc w:val="both"/>
        <w:rPr>
          <w:color w:val="1F3864" w:themeColor="accent5" w:themeShade="80"/>
        </w:rPr>
      </w:pPr>
      <w:r w:rsidRPr="00BF4B4E">
        <w:rPr>
          <w:color w:val="1F3864" w:themeColor="accent5" w:themeShade="80"/>
        </w:rPr>
        <w:t xml:space="preserve"> </w:t>
      </w:r>
      <w:r w:rsidR="00E77A01" w:rsidRPr="00BF4B4E">
        <w:rPr>
          <w:color w:val="1F3864" w:themeColor="accent5" w:themeShade="80"/>
        </w:rPr>
        <w:t>The c</w:t>
      </w:r>
      <w:r w:rsidRPr="00BF4B4E">
        <w:rPr>
          <w:color w:val="1F3864" w:themeColor="accent5" w:themeShade="80"/>
        </w:rPr>
        <w:t xml:space="preserve">ountry and partners are aware that payments not requested on time and in full or non in compliance with the payment schedule, as indicated in Project progress reports, may be lost, according </w:t>
      </w:r>
      <w:r w:rsidR="00E77A01" w:rsidRPr="00BF4B4E">
        <w:rPr>
          <w:color w:val="1F3864" w:themeColor="accent5" w:themeShade="80"/>
        </w:rPr>
        <w:t xml:space="preserve">to </w:t>
      </w:r>
      <w:r w:rsidRPr="00BF4B4E">
        <w:rPr>
          <w:color w:val="1F3864" w:themeColor="accent5" w:themeShade="80"/>
        </w:rPr>
        <w:t>the procedures established in the Programme Manual.</w:t>
      </w:r>
    </w:p>
    <w:p w14:paraId="29153862" w14:textId="77777777" w:rsidR="00861EE3" w:rsidRPr="00BF4B4E" w:rsidRDefault="00861EE3" w:rsidP="00861EE3">
      <w:pPr>
        <w:widowControl w:val="0"/>
        <w:tabs>
          <w:tab w:val="left" w:pos="-1440"/>
          <w:tab w:val="left" w:pos="0"/>
          <w:tab w:val="left" w:pos="284"/>
        </w:tabs>
        <w:suppressAutoHyphens/>
        <w:rPr>
          <w:color w:val="1F3864" w:themeColor="accent5" w:themeShade="80"/>
        </w:rPr>
      </w:pPr>
    </w:p>
    <w:p w14:paraId="2E20BF5A" w14:textId="77777777" w:rsidR="00861EE3" w:rsidRPr="00BF4B4E" w:rsidRDefault="00861EE3" w:rsidP="00861EE3">
      <w:pPr>
        <w:tabs>
          <w:tab w:val="left" w:pos="1440"/>
        </w:tabs>
        <w:spacing w:line="288" w:lineRule="auto"/>
        <w:jc w:val="center"/>
        <w:rPr>
          <w:rFonts w:cs="Arial"/>
          <w:b/>
          <w:color w:val="1F3864" w:themeColor="accent5" w:themeShade="80"/>
          <w:sz w:val="26"/>
          <w:szCs w:val="26"/>
        </w:rPr>
      </w:pPr>
      <w:r w:rsidRPr="00BF4B4E">
        <w:rPr>
          <w:rFonts w:cs="Arial"/>
          <w:b/>
          <w:color w:val="1F3864" w:themeColor="accent5" w:themeShade="80"/>
          <w:sz w:val="26"/>
          <w:szCs w:val="26"/>
        </w:rPr>
        <w:t>Article 6 – Expenditure Validation</w:t>
      </w:r>
    </w:p>
    <w:p w14:paraId="39599891" w14:textId="77777777" w:rsidR="00861EE3" w:rsidRPr="00BF4B4E" w:rsidRDefault="00861EE3" w:rsidP="00EA5097">
      <w:pPr>
        <w:widowControl w:val="0"/>
        <w:numPr>
          <w:ilvl w:val="0"/>
          <w:numId w:val="8"/>
        </w:numPr>
        <w:tabs>
          <w:tab w:val="left" w:pos="-1440"/>
          <w:tab w:val="left" w:pos="0"/>
          <w:tab w:val="left" w:pos="284"/>
        </w:tabs>
        <w:suppressAutoHyphens/>
        <w:spacing w:before="120" w:after="0" w:line="276" w:lineRule="auto"/>
        <w:ind w:left="284" w:hanging="284"/>
        <w:jc w:val="both"/>
        <w:rPr>
          <w:color w:val="1F3864" w:themeColor="accent5" w:themeShade="80"/>
        </w:rPr>
      </w:pPr>
      <w:r w:rsidRPr="00BF4B4E">
        <w:rPr>
          <w:color w:val="1F3864" w:themeColor="accent5" w:themeShade="80"/>
        </w:rPr>
        <w:t>The country notifies the MA, the persons or institutions performing the control activities and ensures that they were selected in accordance with the system set up and meet the requirements of qualification and independence.</w:t>
      </w:r>
    </w:p>
    <w:p w14:paraId="3D3EC758" w14:textId="1E206680" w:rsidR="00861EE3" w:rsidRPr="00BF4B4E" w:rsidRDefault="00861EE3" w:rsidP="00EA5097">
      <w:pPr>
        <w:pStyle w:val="PargrafodaLista"/>
        <w:widowControl w:val="0"/>
        <w:numPr>
          <w:ilvl w:val="0"/>
          <w:numId w:val="8"/>
        </w:numPr>
        <w:tabs>
          <w:tab w:val="left" w:pos="-1440"/>
          <w:tab w:val="left" w:pos="0"/>
          <w:tab w:val="left" w:pos="284"/>
        </w:tabs>
        <w:suppressAutoHyphens/>
        <w:spacing w:before="120" w:after="200" w:line="276" w:lineRule="auto"/>
        <w:ind w:left="284" w:hanging="284"/>
        <w:jc w:val="both"/>
        <w:rPr>
          <w:color w:val="1F3864" w:themeColor="accent5" w:themeShade="80"/>
        </w:rPr>
      </w:pPr>
      <w:r w:rsidRPr="00BF4B4E">
        <w:rPr>
          <w:color w:val="1F3864" w:themeColor="accent5" w:themeShade="80"/>
        </w:rPr>
        <w:t xml:space="preserve">Changes of address, changes of account number and changes of control authority/institution or name of controller(s) </w:t>
      </w:r>
      <w:r w:rsidR="002775C6" w:rsidRPr="00BF4B4E">
        <w:rPr>
          <w:color w:val="1F3864" w:themeColor="accent5" w:themeShade="80"/>
        </w:rPr>
        <w:t>must</w:t>
      </w:r>
      <w:r w:rsidRPr="00BF4B4E">
        <w:rPr>
          <w:color w:val="1F3864" w:themeColor="accent5" w:themeShade="80"/>
        </w:rPr>
        <w:t xml:space="preserve"> be duly notified following the procedure laid out in the Programme Manual for project changes. </w:t>
      </w:r>
    </w:p>
    <w:p w14:paraId="2C725E8D" w14:textId="3105C8E2" w:rsidR="00200D67" w:rsidRPr="00BF4B4E" w:rsidRDefault="00200D67">
      <w:pPr>
        <w:rPr>
          <w:color w:val="1F3864" w:themeColor="accent5" w:themeShade="80"/>
        </w:rPr>
      </w:pPr>
      <w:r w:rsidRPr="00BF4B4E">
        <w:rPr>
          <w:color w:val="1F3864" w:themeColor="accent5" w:themeShade="80"/>
        </w:rPr>
        <w:br w:type="page"/>
      </w:r>
    </w:p>
    <w:p w14:paraId="3AA20A0F" w14:textId="77777777" w:rsidR="00861EE3" w:rsidRPr="00BF4B4E" w:rsidRDefault="00861EE3" w:rsidP="00861EE3">
      <w:pPr>
        <w:jc w:val="center"/>
        <w:rPr>
          <w:rFonts w:cs="Arial"/>
          <w:b/>
          <w:color w:val="1F3864" w:themeColor="accent5" w:themeShade="80"/>
          <w:sz w:val="26"/>
          <w:szCs w:val="26"/>
        </w:rPr>
      </w:pPr>
      <w:r w:rsidRPr="00BF4B4E">
        <w:rPr>
          <w:rFonts w:cs="Arial"/>
          <w:b/>
          <w:color w:val="1F3864" w:themeColor="accent5" w:themeShade="80"/>
          <w:sz w:val="26"/>
          <w:szCs w:val="26"/>
        </w:rPr>
        <w:lastRenderedPageBreak/>
        <w:t>Article 7 – Changes</w:t>
      </w:r>
    </w:p>
    <w:p w14:paraId="7568BC2F" w14:textId="038A382E" w:rsidR="00861EE3" w:rsidRPr="00BF4B4E" w:rsidRDefault="00861EE3" w:rsidP="00861EE3">
      <w:pPr>
        <w:widowControl w:val="0"/>
        <w:tabs>
          <w:tab w:val="left" w:pos="-1440"/>
          <w:tab w:val="left" w:pos="0"/>
          <w:tab w:val="left" w:pos="284"/>
        </w:tabs>
        <w:suppressAutoHyphens/>
        <w:spacing w:before="120" w:line="276" w:lineRule="auto"/>
        <w:jc w:val="both"/>
        <w:rPr>
          <w:color w:val="1F3864" w:themeColor="accent5" w:themeShade="80"/>
        </w:rPr>
      </w:pPr>
      <w:r w:rsidRPr="00BF4B4E">
        <w:rPr>
          <w:color w:val="1F3864" w:themeColor="accent5" w:themeShade="80"/>
        </w:rPr>
        <w:t>Changes in budget allocations per budget lines, work packages and partner</w:t>
      </w:r>
      <w:r w:rsidR="00DB27FA" w:rsidRPr="00BF4B4E">
        <w:rPr>
          <w:color w:val="1F3864" w:themeColor="accent5" w:themeShade="80"/>
        </w:rPr>
        <w:t>,</w:t>
      </w:r>
      <w:r w:rsidRPr="00BF4B4E">
        <w:rPr>
          <w:color w:val="1F3864" w:themeColor="accent5" w:themeShade="80"/>
        </w:rPr>
        <w:t xml:space="preserve"> as well as changes in activities/outputs and project duration</w:t>
      </w:r>
      <w:r w:rsidR="00DB27FA" w:rsidRPr="00BF4B4E">
        <w:rPr>
          <w:color w:val="1F3864" w:themeColor="accent5" w:themeShade="80"/>
        </w:rPr>
        <w:t>,</w:t>
      </w:r>
      <w:r w:rsidRPr="00BF4B4E">
        <w:rPr>
          <w:color w:val="1F3864" w:themeColor="accent5" w:themeShade="80"/>
        </w:rPr>
        <w:t xml:space="preserve"> are allowed </w:t>
      </w:r>
      <w:r w:rsidR="002775C6" w:rsidRPr="00BF4B4E">
        <w:rPr>
          <w:color w:val="1F3864" w:themeColor="accent5" w:themeShade="80"/>
        </w:rPr>
        <w:t>if</w:t>
      </w:r>
      <w:r w:rsidRPr="00BF4B4E">
        <w:rPr>
          <w:color w:val="1F3864" w:themeColor="accent5" w:themeShade="80"/>
        </w:rPr>
        <w:t xml:space="preserve"> the maximum amount of funding awarded is not exceeded, if provisions related to State Aid discipline are respected and if they follow the conditions and procedures as set out in the Programme Manual. </w:t>
      </w:r>
    </w:p>
    <w:p w14:paraId="4E085601" w14:textId="77777777" w:rsidR="00861EE3" w:rsidRPr="00BF4B4E" w:rsidRDefault="00861EE3" w:rsidP="00861EE3">
      <w:pPr>
        <w:widowControl w:val="0"/>
        <w:tabs>
          <w:tab w:val="left" w:pos="-1440"/>
          <w:tab w:val="left" w:pos="0"/>
          <w:tab w:val="left" w:pos="284"/>
        </w:tabs>
        <w:suppressAutoHyphens/>
        <w:rPr>
          <w:color w:val="1F3864" w:themeColor="accent5" w:themeShade="80"/>
        </w:rPr>
      </w:pPr>
    </w:p>
    <w:p w14:paraId="30D832D1" w14:textId="77777777" w:rsidR="00861EE3" w:rsidRPr="00BF4B4E" w:rsidRDefault="00861EE3" w:rsidP="00861EE3">
      <w:pPr>
        <w:widowControl w:val="0"/>
        <w:tabs>
          <w:tab w:val="left" w:pos="-1440"/>
          <w:tab w:val="left" w:pos="0"/>
          <w:tab w:val="left" w:pos="284"/>
        </w:tabs>
        <w:suppressAutoHyphens/>
        <w:jc w:val="center"/>
        <w:rPr>
          <w:color w:val="1F3864" w:themeColor="accent5" w:themeShade="80"/>
          <w:sz w:val="26"/>
          <w:szCs w:val="26"/>
          <w:highlight w:val="yellow"/>
        </w:rPr>
      </w:pPr>
      <w:r w:rsidRPr="00BF4B4E">
        <w:rPr>
          <w:rFonts w:cs="Arial"/>
          <w:b/>
          <w:color w:val="1F3864" w:themeColor="accent5" w:themeShade="80"/>
          <w:sz w:val="26"/>
          <w:szCs w:val="26"/>
        </w:rPr>
        <w:t>Article 8 – Project Partners representation</w:t>
      </w:r>
    </w:p>
    <w:p w14:paraId="71223638" w14:textId="41CBD336" w:rsidR="00861EE3" w:rsidRPr="00BF4B4E" w:rsidRDefault="00861EE3" w:rsidP="00EA5097">
      <w:pPr>
        <w:widowControl w:val="0"/>
        <w:numPr>
          <w:ilvl w:val="0"/>
          <w:numId w:val="9"/>
        </w:numPr>
        <w:tabs>
          <w:tab w:val="left" w:pos="-1440"/>
          <w:tab w:val="left" w:pos="0"/>
          <w:tab w:val="left" w:pos="284"/>
        </w:tabs>
        <w:suppressAutoHyphens/>
        <w:spacing w:before="120" w:after="0" w:line="276" w:lineRule="auto"/>
        <w:ind w:left="284" w:hanging="284"/>
        <w:jc w:val="both"/>
        <w:rPr>
          <w:color w:val="1F3864" w:themeColor="accent5" w:themeShade="80"/>
        </w:rPr>
      </w:pPr>
      <w:r w:rsidRPr="00BF4B4E">
        <w:rPr>
          <w:color w:val="1F3864" w:themeColor="accent5" w:themeShade="80"/>
        </w:rPr>
        <w:t>“Project Partners” are the organisations listed as such in the latest PAF version. Only expenditure</w:t>
      </w:r>
      <w:r w:rsidR="00DB27FA" w:rsidRPr="00BF4B4E">
        <w:rPr>
          <w:color w:val="1F3864" w:themeColor="accent5" w:themeShade="80"/>
        </w:rPr>
        <w:t>s</w:t>
      </w:r>
      <w:r w:rsidRPr="00BF4B4E">
        <w:rPr>
          <w:color w:val="1F3864" w:themeColor="accent5" w:themeShade="80"/>
        </w:rPr>
        <w:t xml:space="preserve"> incurred and paid by the PPs are eligible for ERDF co-financing, </w:t>
      </w:r>
      <w:r w:rsidR="002775C6" w:rsidRPr="00BF4B4E">
        <w:rPr>
          <w:color w:val="1F3864" w:themeColor="accent5" w:themeShade="80"/>
        </w:rPr>
        <w:t>except for</w:t>
      </w:r>
      <w:r w:rsidRPr="00BF4B4E">
        <w:rPr>
          <w:color w:val="1F3864" w:themeColor="accent5" w:themeShade="80"/>
        </w:rPr>
        <w:t xml:space="preserve"> expenditure</w:t>
      </w:r>
      <w:r w:rsidR="00647535" w:rsidRPr="00BF4B4E">
        <w:rPr>
          <w:color w:val="1F3864" w:themeColor="accent5" w:themeShade="80"/>
        </w:rPr>
        <w:t>s</w:t>
      </w:r>
      <w:r w:rsidRPr="00BF4B4E">
        <w:rPr>
          <w:color w:val="1F3864" w:themeColor="accent5" w:themeShade="80"/>
        </w:rPr>
        <w:t xml:space="preserve"> calculated as lump sums or on a flat rate basis.</w:t>
      </w:r>
    </w:p>
    <w:p w14:paraId="4886E852" w14:textId="15240F0C" w:rsidR="00861EE3" w:rsidRPr="00BF4B4E" w:rsidRDefault="00861EE3" w:rsidP="00EA5097">
      <w:pPr>
        <w:widowControl w:val="0"/>
        <w:numPr>
          <w:ilvl w:val="0"/>
          <w:numId w:val="9"/>
        </w:numPr>
        <w:tabs>
          <w:tab w:val="left" w:pos="-1440"/>
          <w:tab w:val="left" w:pos="0"/>
          <w:tab w:val="left" w:pos="284"/>
        </w:tabs>
        <w:suppressAutoHyphens/>
        <w:spacing w:before="120" w:after="0" w:line="276" w:lineRule="auto"/>
        <w:jc w:val="both"/>
        <w:rPr>
          <w:color w:val="1F3864" w:themeColor="accent5" w:themeShade="80"/>
        </w:rPr>
      </w:pPr>
      <w:r w:rsidRPr="00BF4B4E">
        <w:rPr>
          <w:color w:val="1F3864" w:themeColor="accent5" w:themeShade="80"/>
        </w:rPr>
        <w:t>If the MA demands repayment of allocated funds</w:t>
      </w:r>
      <w:r w:rsidR="00647535" w:rsidRPr="00BF4B4E">
        <w:rPr>
          <w:color w:val="1F3864" w:themeColor="accent5" w:themeShade="80"/>
        </w:rPr>
        <w:t xml:space="preserve">, and in case the MA </w:t>
      </w:r>
      <w:proofErr w:type="gramStart"/>
      <w:r w:rsidR="00647535" w:rsidRPr="00BF4B4E">
        <w:rPr>
          <w:color w:val="1F3864" w:themeColor="accent5" w:themeShade="80"/>
        </w:rPr>
        <w:t>does not succeed</w:t>
      </w:r>
      <w:proofErr w:type="gramEnd"/>
      <w:r w:rsidR="00647535" w:rsidRPr="00BF4B4E">
        <w:rPr>
          <w:color w:val="1F3864" w:themeColor="accent5" w:themeShade="80"/>
        </w:rPr>
        <w:t xml:space="preserve"> in securing repayment, the Member State or third country on whose territory the beneficiary concerned is located or, in</w:t>
      </w:r>
      <w:r w:rsidR="00777A59" w:rsidRPr="00BF4B4E">
        <w:rPr>
          <w:color w:val="1F3864" w:themeColor="accent5" w:themeShade="80"/>
        </w:rPr>
        <w:t xml:space="preserve"> </w:t>
      </w:r>
      <w:r w:rsidR="00647535" w:rsidRPr="00BF4B4E">
        <w:rPr>
          <w:color w:val="1F3864" w:themeColor="accent5" w:themeShade="80"/>
        </w:rPr>
        <w:t xml:space="preserve">the case of an EGTC, is registered shall reimburse the </w:t>
      </w:r>
      <w:r w:rsidR="00777A59" w:rsidRPr="00BF4B4E">
        <w:rPr>
          <w:color w:val="1F3864" w:themeColor="accent5" w:themeShade="80"/>
        </w:rPr>
        <w:t>MA</w:t>
      </w:r>
      <w:r w:rsidR="00647535" w:rsidRPr="00BF4B4E">
        <w:rPr>
          <w:color w:val="1F3864" w:themeColor="accent5" w:themeShade="80"/>
        </w:rPr>
        <w:t xml:space="preserve"> </w:t>
      </w:r>
      <w:r w:rsidR="00777A59" w:rsidRPr="00BF4B4E">
        <w:rPr>
          <w:color w:val="1F3864" w:themeColor="accent5" w:themeShade="80"/>
        </w:rPr>
        <w:t xml:space="preserve">in line with Article 52 (3) of Regulation (EU) No 2021/1059. </w:t>
      </w:r>
    </w:p>
    <w:p w14:paraId="7A8B73DE" w14:textId="0345A409" w:rsidR="00861EE3" w:rsidRPr="00BF4B4E" w:rsidRDefault="00861EE3" w:rsidP="00EA5097">
      <w:pPr>
        <w:widowControl w:val="0"/>
        <w:numPr>
          <w:ilvl w:val="0"/>
          <w:numId w:val="9"/>
        </w:numPr>
        <w:tabs>
          <w:tab w:val="left" w:pos="-1440"/>
          <w:tab w:val="left" w:pos="0"/>
          <w:tab w:val="left" w:pos="284"/>
        </w:tabs>
        <w:suppressAutoHyphens/>
        <w:spacing w:before="120" w:after="0" w:line="276" w:lineRule="auto"/>
        <w:ind w:left="284" w:hanging="284"/>
        <w:jc w:val="both"/>
        <w:rPr>
          <w:color w:val="1F3864" w:themeColor="accent5" w:themeShade="80"/>
        </w:rPr>
      </w:pPr>
      <w:r w:rsidRPr="00BF4B4E">
        <w:rPr>
          <w:color w:val="1F3864" w:themeColor="accent5" w:themeShade="80"/>
        </w:rPr>
        <w:t xml:space="preserve">The MA cannot under any circumstances or for any reason whatsoever be held liable for damage or injury sustained by the staff or property of partners while the project is being carried out. </w:t>
      </w:r>
      <w:r w:rsidR="008D3DB7" w:rsidRPr="00BF4B4E">
        <w:rPr>
          <w:color w:val="1F3864" w:themeColor="accent5" w:themeShade="80"/>
        </w:rPr>
        <w:t>Therefore,</w:t>
      </w:r>
      <w:r w:rsidRPr="00BF4B4E">
        <w:rPr>
          <w:color w:val="1F3864" w:themeColor="accent5" w:themeShade="80"/>
        </w:rPr>
        <w:t xml:space="preserve"> the MA cannot accept any claim for compensation or increases in payment in connection with such damage or injury.</w:t>
      </w:r>
    </w:p>
    <w:p w14:paraId="52E902EF" w14:textId="77777777" w:rsidR="00861EE3" w:rsidRPr="00BF4B4E" w:rsidRDefault="00861EE3" w:rsidP="00861EE3">
      <w:pPr>
        <w:widowControl w:val="0"/>
        <w:tabs>
          <w:tab w:val="left" w:pos="-1440"/>
          <w:tab w:val="left" w:pos="0"/>
          <w:tab w:val="left" w:pos="284"/>
        </w:tabs>
        <w:suppressAutoHyphens/>
        <w:jc w:val="both"/>
        <w:rPr>
          <w:rFonts w:cs="Arial"/>
          <w:b/>
          <w:color w:val="1F3864" w:themeColor="accent5" w:themeShade="80"/>
          <w:sz w:val="26"/>
          <w:szCs w:val="26"/>
        </w:rPr>
      </w:pPr>
    </w:p>
    <w:p w14:paraId="50226B42" w14:textId="77777777" w:rsidR="00861EE3" w:rsidRPr="00BF4B4E" w:rsidRDefault="00861EE3" w:rsidP="00861EE3">
      <w:pPr>
        <w:widowControl w:val="0"/>
        <w:tabs>
          <w:tab w:val="left" w:pos="-1440"/>
          <w:tab w:val="left" w:pos="0"/>
          <w:tab w:val="left" w:pos="284"/>
        </w:tabs>
        <w:suppressAutoHyphens/>
        <w:spacing w:before="120" w:line="276" w:lineRule="auto"/>
        <w:ind w:left="142"/>
        <w:jc w:val="center"/>
        <w:rPr>
          <w:rFonts w:cs="Arial"/>
          <w:b/>
          <w:color w:val="1F3864" w:themeColor="accent5" w:themeShade="80"/>
          <w:sz w:val="26"/>
          <w:szCs w:val="26"/>
        </w:rPr>
      </w:pPr>
      <w:r w:rsidRPr="00BF4B4E">
        <w:rPr>
          <w:rFonts w:cs="Arial"/>
          <w:b/>
          <w:color w:val="1F3864" w:themeColor="accent5" w:themeShade="80"/>
          <w:sz w:val="26"/>
          <w:szCs w:val="26"/>
        </w:rPr>
        <w:t>Article 9 – Project Management</w:t>
      </w:r>
    </w:p>
    <w:p w14:paraId="5379940C" w14:textId="7F40CD00" w:rsidR="00861EE3" w:rsidRPr="00BF4B4E" w:rsidRDefault="00861EE3" w:rsidP="00EA5097">
      <w:pPr>
        <w:widowControl w:val="0"/>
        <w:numPr>
          <w:ilvl w:val="0"/>
          <w:numId w:val="10"/>
        </w:numPr>
        <w:tabs>
          <w:tab w:val="left" w:pos="-1440"/>
          <w:tab w:val="left" w:pos="0"/>
          <w:tab w:val="left" w:pos="284"/>
        </w:tabs>
        <w:suppressAutoHyphens/>
        <w:spacing w:before="120" w:after="0" w:line="276" w:lineRule="auto"/>
        <w:ind w:left="284" w:hanging="284"/>
        <w:jc w:val="both"/>
        <w:rPr>
          <w:color w:val="1F3864" w:themeColor="accent5" w:themeShade="80"/>
        </w:rPr>
      </w:pPr>
      <w:r w:rsidRPr="00BF4B4E">
        <w:rPr>
          <w:color w:val="1F3864" w:themeColor="accent5" w:themeShade="80"/>
        </w:rPr>
        <w:t xml:space="preserve">In compliance with Article </w:t>
      </w:r>
      <w:r w:rsidR="007039DC" w:rsidRPr="00BF4B4E">
        <w:rPr>
          <w:color w:val="1F3864" w:themeColor="accent5" w:themeShade="80"/>
        </w:rPr>
        <w:t xml:space="preserve">63 </w:t>
      </w:r>
      <w:r w:rsidRPr="00BF4B4E">
        <w:rPr>
          <w:color w:val="1F3864" w:themeColor="accent5" w:themeShade="80"/>
        </w:rPr>
        <w:t>(</w:t>
      </w:r>
      <w:r w:rsidR="007039DC" w:rsidRPr="00BF4B4E">
        <w:rPr>
          <w:color w:val="1F3864" w:themeColor="accent5" w:themeShade="80"/>
        </w:rPr>
        <w:t>9</w:t>
      </w:r>
      <w:r w:rsidRPr="00BF4B4E">
        <w:rPr>
          <w:color w:val="1F3864" w:themeColor="accent5" w:themeShade="80"/>
        </w:rPr>
        <w:t xml:space="preserve">) of Regulation (EU) No </w:t>
      </w:r>
      <w:r w:rsidR="007039DC" w:rsidRPr="00BF4B4E">
        <w:rPr>
          <w:color w:val="1F3864" w:themeColor="accent5" w:themeShade="80"/>
        </w:rPr>
        <w:t>2021</w:t>
      </w:r>
      <w:r w:rsidRPr="00BF4B4E">
        <w:rPr>
          <w:color w:val="1F3864" w:themeColor="accent5" w:themeShade="80"/>
        </w:rPr>
        <w:t>/</w:t>
      </w:r>
      <w:r w:rsidR="007039DC" w:rsidRPr="00BF4B4E">
        <w:rPr>
          <w:color w:val="1F3864" w:themeColor="accent5" w:themeShade="80"/>
        </w:rPr>
        <w:t>1060</w:t>
      </w:r>
      <w:r w:rsidR="00782673" w:rsidRPr="00BF4B4E">
        <w:rPr>
          <w:color w:val="1F3864" w:themeColor="accent5" w:themeShade="80"/>
        </w:rPr>
        <w:t>,</w:t>
      </w:r>
      <w:r w:rsidR="007039DC" w:rsidRPr="00BF4B4E">
        <w:rPr>
          <w:color w:val="1F3864" w:themeColor="accent5" w:themeShade="80"/>
        </w:rPr>
        <w:t xml:space="preserve"> </w:t>
      </w:r>
      <w:r w:rsidRPr="00BF4B4E">
        <w:rPr>
          <w:color w:val="1F3864" w:themeColor="accent5" w:themeShade="80"/>
        </w:rPr>
        <w:t xml:space="preserve">the partner ensures that expenditure items included in requests for reimbursement do not receive support from the same or any other EU Programme, EU fund or Union instrument. </w:t>
      </w:r>
    </w:p>
    <w:p w14:paraId="7A317EBA" w14:textId="6E6066C0" w:rsidR="00861EE3" w:rsidRPr="00BF4B4E" w:rsidRDefault="00861EE3" w:rsidP="00EA5097">
      <w:pPr>
        <w:widowControl w:val="0"/>
        <w:numPr>
          <w:ilvl w:val="0"/>
          <w:numId w:val="10"/>
        </w:numPr>
        <w:tabs>
          <w:tab w:val="left" w:pos="-1440"/>
          <w:tab w:val="left" w:pos="0"/>
          <w:tab w:val="left" w:pos="284"/>
        </w:tabs>
        <w:suppressAutoHyphens/>
        <w:spacing w:before="120" w:after="0" w:line="276" w:lineRule="auto"/>
        <w:ind w:left="284" w:hanging="284"/>
        <w:jc w:val="both"/>
        <w:rPr>
          <w:color w:val="1F3864" w:themeColor="accent5" w:themeShade="80"/>
        </w:rPr>
      </w:pPr>
      <w:r w:rsidRPr="00BF4B4E">
        <w:rPr>
          <w:color w:val="1F3864" w:themeColor="accent5" w:themeShade="80"/>
        </w:rPr>
        <w:t xml:space="preserve">In line with Article </w:t>
      </w:r>
      <w:r w:rsidR="00020822" w:rsidRPr="00BF4B4E">
        <w:rPr>
          <w:color w:val="1F3864" w:themeColor="accent5" w:themeShade="80"/>
        </w:rPr>
        <w:t xml:space="preserve">26 </w:t>
      </w:r>
      <w:r w:rsidRPr="00BF4B4E">
        <w:rPr>
          <w:color w:val="1F3864" w:themeColor="accent5" w:themeShade="80"/>
        </w:rPr>
        <w:t>(</w:t>
      </w:r>
      <w:r w:rsidR="006A77B4" w:rsidRPr="00BF4B4E">
        <w:rPr>
          <w:color w:val="1F3864" w:themeColor="accent5" w:themeShade="80"/>
        </w:rPr>
        <w:t>1</w:t>
      </w:r>
      <w:r w:rsidRPr="00BF4B4E">
        <w:rPr>
          <w:color w:val="1F3864" w:themeColor="accent5" w:themeShade="80"/>
        </w:rPr>
        <w:t xml:space="preserve">) lit. c of Regulation (EU) No </w:t>
      </w:r>
      <w:r w:rsidR="00020822" w:rsidRPr="00BF4B4E">
        <w:rPr>
          <w:color w:val="1F3864" w:themeColor="accent5" w:themeShade="80"/>
        </w:rPr>
        <w:t>2021</w:t>
      </w:r>
      <w:r w:rsidRPr="00BF4B4E">
        <w:rPr>
          <w:color w:val="1F3864" w:themeColor="accent5" w:themeShade="80"/>
        </w:rPr>
        <w:t>/</w:t>
      </w:r>
      <w:r w:rsidR="00020822" w:rsidRPr="00BF4B4E">
        <w:rPr>
          <w:color w:val="1F3864" w:themeColor="accent5" w:themeShade="80"/>
        </w:rPr>
        <w:t>1059</w:t>
      </w:r>
      <w:r w:rsidR="00782673" w:rsidRPr="00BF4B4E">
        <w:rPr>
          <w:color w:val="1F3864" w:themeColor="accent5" w:themeShade="80"/>
        </w:rPr>
        <w:t>,</w:t>
      </w:r>
      <w:r w:rsidR="00020822" w:rsidRPr="00BF4B4E">
        <w:rPr>
          <w:color w:val="1F3864" w:themeColor="accent5" w:themeShade="80"/>
        </w:rPr>
        <w:t xml:space="preserve"> </w:t>
      </w:r>
      <w:r w:rsidRPr="00BF4B4E">
        <w:rPr>
          <w:color w:val="1F3864" w:themeColor="accent5" w:themeShade="80"/>
        </w:rPr>
        <w:t xml:space="preserve">the </w:t>
      </w:r>
      <w:r w:rsidR="006A77B4" w:rsidRPr="00BF4B4E">
        <w:rPr>
          <w:color w:val="1F3864" w:themeColor="accent5" w:themeShade="80"/>
        </w:rPr>
        <w:t xml:space="preserve">lead </w:t>
      </w:r>
      <w:r w:rsidRPr="00BF4B4E">
        <w:rPr>
          <w:color w:val="1F3864" w:themeColor="accent5" w:themeShade="80"/>
        </w:rPr>
        <w:t xml:space="preserve">partner </w:t>
      </w:r>
      <w:r w:rsidR="007039DC" w:rsidRPr="00BF4B4E">
        <w:rPr>
          <w:color w:val="1F3864" w:themeColor="accent5" w:themeShade="80"/>
        </w:rPr>
        <w:t>ensures</w:t>
      </w:r>
      <w:r w:rsidRPr="00BF4B4E">
        <w:rPr>
          <w:color w:val="1F3864" w:themeColor="accent5" w:themeShade="80"/>
        </w:rPr>
        <w:t xml:space="preserve"> that expenditures have been controlled</w:t>
      </w:r>
      <w:r w:rsidR="00782673" w:rsidRPr="00BF4B4E">
        <w:rPr>
          <w:color w:val="1F3864" w:themeColor="accent5" w:themeShade="80"/>
        </w:rPr>
        <w:t>,</w:t>
      </w:r>
      <w:r w:rsidRPr="00BF4B4E">
        <w:rPr>
          <w:color w:val="1F3864" w:themeColor="accent5" w:themeShade="80"/>
        </w:rPr>
        <w:t xml:space="preserve"> </w:t>
      </w:r>
      <w:proofErr w:type="gramStart"/>
      <w:r w:rsidRPr="00BF4B4E">
        <w:rPr>
          <w:color w:val="1F3864" w:themeColor="accent5" w:themeShade="80"/>
        </w:rPr>
        <w:t>verified</w:t>
      </w:r>
      <w:proofErr w:type="gramEnd"/>
      <w:r w:rsidRPr="00BF4B4E">
        <w:rPr>
          <w:color w:val="1F3864" w:themeColor="accent5" w:themeShade="80"/>
        </w:rPr>
        <w:t xml:space="preserve"> and used for the project purposes as set out in the PAF.</w:t>
      </w:r>
    </w:p>
    <w:p w14:paraId="57D794C3" w14:textId="0352CB90" w:rsidR="00861EE3" w:rsidRPr="00BF4B4E" w:rsidRDefault="00861EE3" w:rsidP="00EA5097">
      <w:pPr>
        <w:widowControl w:val="0"/>
        <w:numPr>
          <w:ilvl w:val="0"/>
          <w:numId w:val="10"/>
        </w:numPr>
        <w:tabs>
          <w:tab w:val="left" w:pos="-1440"/>
          <w:tab w:val="left" w:pos="0"/>
          <w:tab w:val="left" w:pos="284"/>
        </w:tabs>
        <w:suppressAutoHyphens/>
        <w:spacing w:before="120" w:after="0" w:line="276" w:lineRule="auto"/>
        <w:ind w:left="284" w:hanging="284"/>
        <w:jc w:val="both"/>
        <w:rPr>
          <w:color w:val="1F3864" w:themeColor="accent5" w:themeShade="80"/>
        </w:rPr>
      </w:pPr>
      <w:r w:rsidRPr="00BF4B4E">
        <w:rPr>
          <w:color w:val="1F3864" w:themeColor="accent5" w:themeShade="80"/>
        </w:rPr>
        <w:t>Financial controllers of each partner are chosen by each beneficiary and validated by the respective Member State before the submission of the first Progress report and expenses claim. It should also ensure partners located in a country not covered by the Atlantic Area (inside or outside the European Union).</w:t>
      </w:r>
    </w:p>
    <w:p w14:paraId="0472EBF6" w14:textId="60DDEC2D" w:rsidR="00861EE3" w:rsidRPr="00BF4B4E" w:rsidRDefault="00861EE3" w:rsidP="00EA5097">
      <w:pPr>
        <w:widowControl w:val="0"/>
        <w:numPr>
          <w:ilvl w:val="0"/>
          <w:numId w:val="10"/>
        </w:numPr>
        <w:tabs>
          <w:tab w:val="left" w:pos="-1440"/>
          <w:tab w:val="left" w:pos="0"/>
          <w:tab w:val="left" w:pos="284"/>
        </w:tabs>
        <w:suppressAutoHyphens/>
        <w:spacing w:before="120" w:after="0" w:line="276" w:lineRule="auto"/>
        <w:ind w:left="357" w:hanging="284"/>
        <w:jc w:val="both"/>
        <w:rPr>
          <w:color w:val="1F3864" w:themeColor="accent5" w:themeShade="80"/>
        </w:rPr>
      </w:pPr>
      <w:r w:rsidRPr="00BF4B4E">
        <w:rPr>
          <w:color w:val="1F3864" w:themeColor="accent5" w:themeShade="80"/>
        </w:rPr>
        <w:t xml:space="preserve">In accordance with Article </w:t>
      </w:r>
      <w:r w:rsidR="006A77B4" w:rsidRPr="00BF4B4E">
        <w:rPr>
          <w:color w:val="1F3864" w:themeColor="accent5" w:themeShade="80"/>
        </w:rPr>
        <w:t>44</w:t>
      </w:r>
      <w:r w:rsidRPr="00BF4B4E">
        <w:rPr>
          <w:color w:val="1F3864" w:themeColor="accent5" w:themeShade="80"/>
        </w:rPr>
        <w:t xml:space="preserve"> of Regulation (EU) </w:t>
      </w:r>
      <w:r w:rsidR="006A77B4" w:rsidRPr="00BF4B4E">
        <w:rPr>
          <w:color w:val="1F3864" w:themeColor="accent5" w:themeShade="80"/>
        </w:rPr>
        <w:t>2021</w:t>
      </w:r>
      <w:r w:rsidRPr="00BF4B4E">
        <w:rPr>
          <w:color w:val="1F3864" w:themeColor="accent5" w:themeShade="80"/>
        </w:rPr>
        <w:t>/</w:t>
      </w:r>
      <w:r w:rsidR="006A77B4" w:rsidRPr="00BF4B4E">
        <w:rPr>
          <w:color w:val="1F3864" w:themeColor="accent5" w:themeShade="80"/>
        </w:rPr>
        <w:t>1060</w:t>
      </w:r>
      <w:r w:rsidR="00782673" w:rsidRPr="00BF4B4E">
        <w:rPr>
          <w:color w:val="1F3864" w:themeColor="accent5" w:themeShade="80"/>
        </w:rPr>
        <w:t>,</w:t>
      </w:r>
      <w:r w:rsidR="006A77B4" w:rsidRPr="00BF4B4E">
        <w:rPr>
          <w:color w:val="1F3864" w:themeColor="accent5" w:themeShade="80"/>
        </w:rPr>
        <w:t xml:space="preserve"> </w:t>
      </w:r>
      <w:r w:rsidRPr="00BF4B4E">
        <w:rPr>
          <w:color w:val="1F3864" w:themeColor="accent5" w:themeShade="80"/>
        </w:rPr>
        <w:t>the partner undertake</w:t>
      </w:r>
      <w:r w:rsidR="006A77B4" w:rsidRPr="00BF4B4E">
        <w:rPr>
          <w:color w:val="1F3864" w:themeColor="accent5" w:themeShade="80"/>
        </w:rPr>
        <w:t>s</w:t>
      </w:r>
      <w:r w:rsidRPr="00BF4B4E">
        <w:rPr>
          <w:color w:val="1F3864" w:themeColor="accent5" w:themeShade="80"/>
        </w:rPr>
        <w:t xml:space="preserve"> to provide experts or bodies authorised by the Interreg AA Programme carrying out project evaluations and/or studies with any document or information requested for evaluation purpose</w:t>
      </w:r>
      <w:r w:rsidR="00782673" w:rsidRPr="00BF4B4E">
        <w:rPr>
          <w:color w:val="1F3864" w:themeColor="accent5" w:themeShade="80"/>
        </w:rPr>
        <w:t>s</w:t>
      </w:r>
      <w:r w:rsidRPr="00BF4B4E">
        <w:rPr>
          <w:color w:val="1F3864" w:themeColor="accent5" w:themeShade="80"/>
        </w:rPr>
        <w:t>. Information might be provided by the partner or also through surveys and/or interviews.</w:t>
      </w:r>
    </w:p>
    <w:p w14:paraId="47D2FE27" w14:textId="77777777" w:rsidR="00861EE3" w:rsidRPr="00BF4B4E" w:rsidRDefault="00861EE3" w:rsidP="00EA5097">
      <w:pPr>
        <w:widowControl w:val="0"/>
        <w:numPr>
          <w:ilvl w:val="0"/>
          <w:numId w:val="10"/>
        </w:numPr>
        <w:tabs>
          <w:tab w:val="left" w:pos="-1440"/>
          <w:tab w:val="left" w:pos="0"/>
          <w:tab w:val="left" w:pos="284"/>
        </w:tabs>
        <w:suppressAutoHyphens/>
        <w:spacing w:before="120" w:after="0" w:line="276" w:lineRule="auto"/>
        <w:ind w:left="357" w:hanging="284"/>
        <w:jc w:val="both"/>
        <w:rPr>
          <w:color w:val="1F3864" w:themeColor="accent5" w:themeShade="80"/>
        </w:rPr>
      </w:pPr>
      <w:r w:rsidRPr="00BF4B4E">
        <w:rPr>
          <w:color w:val="1F3864" w:themeColor="accent5" w:themeShade="80"/>
        </w:rPr>
        <w:t xml:space="preserve"> (for State Aid relevant projects)</w:t>
      </w:r>
    </w:p>
    <w:p w14:paraId="046D0A71" w14:textId="4842AB06" w:rsidR="00861EE3" w:rsidRPr="00BF4B4E" w:rsidRDefault="00861EE3" w:rsidP="00861EE3">
      <w:pPr>
        <w:widowControl w:val="0"/>
        <w:tabs>
          <w:tab w:val="left" w:pos="-1440"/>
          <w:tab w:val="left" w:pos="0"/>
          <w:tab w:val="left" w:pos="284"/>
        </w:tabs>
        <w:suppressAutoHyphens/>
        <w:spacing w:before="120" w:line="276" w:lineRule="auto"/>
        <w:ind w:left="357"/>
        <w:jc w:val="both"/>
        <w:rPr>
          <w:color w:val="1F3864" w:themeColor="accent5" w:themeShade="80"/>
        </w:rPr>
      </w:pPr>
      <w:r w:rsidRPr="00BF4B4E">
        <w:rPr>
          <w:color w:val="1F3864" w:themeColor="accent5" w:themeShade="80"/>
        </w:rPr>
        <w:t xml:space="preserve">The country ensures that, in case of aid granted under the </w:t>
      </w:r>
      <w:r w:rsidRPr="00BF4B4E">
        <w:rPr>
          <w:i/>
          <w:color w:val="1F3864" w:themeColor="accent5" w:themeShade="80"/>
        </w:rPr>
        <w:t>de minimis</w:t>
      </w:r>
      <w:r w:rsidRPr="00BF4B4E">
        <w:rPr>
          <w:color w:val="1F3864" w:themeColor="accent5" w:themeShade="80"/>
        </w:rPr>
        <w:t xml:space="preserve"> regime, the partner will respect all requirements provided in Regulation (EU) </w:t>
      </w:r>
      <w:r w:rsidR="006A77B4" w:rsidRPr="00BF4B4E">
        <w:rPr>
          <w:color w:val="1F3864" w:themeColor="accent5" w:themeShade="80"/>
        </w:rPr>
        <w:t xml:space="preserve">No 2023/1315 </w:t>
      </w:r>
      <w:r w:rsidRPr="00BF4B4E">
        <w:rPr>
          <w:color w:val="1F3864" w:themeColor="accent5" w:themeShade="80"/>
        </w:rPr>
        <w:t xml:space="preserve">and ensure their respect, when necessary, by those bodies benefitting </w:t>
      </w:r>
      <w:r w:rsidR="007E5502" w:rsidRPr="00BF4B4E">
        <w:rPr>
          <w:color w:val="1F3864" w:themeColor="accent5" w:themeShade="80"/>
        </w:rPr>
        <w:t xml:space="preserve">from </w:t>
      </w:r>
      <w:r w:rsidRPr="00BF4B4E">
        <w:rPr>
          <w:color w:val="1F3864" w:themeColor="accent5" w:themeShade="80"/>
        </w:rPr>
        <w:t xml:space="preserve">project activities/outputs. </w:t>
      </w:r>
    </w:p>
    <w:p w14:paraId="66365695" w14:textId="77777777" w:rsidR="00861EE3" w:rsidRPr="00BF4B4E" w:rsidRDefault="00861EE3" w:rsidP="00861EE3">
      <w:pPr>
        <w:widowControl w:val="0"/>
        <w:tabs>
          <w:tab w:val="left" w:pos="-1440"/>
          <w:tab w:val="left" w:pos="0"/>
          <w:tab w:val="left" w:pos="284"/>
        </w:tabs>
        <w:suppressAutoHyphens/>
        <w:jc w:val="both"/>
        <w:rPr>
          <w:color w:val="1F3864" w:themeColor="accent5" w:themeShade="80"/>
        </w:rPr>
      </w:pPr>
    </w:p>
    <w:p w14:paraId="4DA4818C" w14:textId="77777777" w:rsidR="00861EE3" w:rsidRPr="00BF4B4E" w:rsidRDefault="00861EE3" w:rsidP="00861EE3">
      <w:pPr>
        <w:widowControl w:val="0"/>
        <w:tabs>
          <w:tab w:val="left" w:pos="-1440"/>
        </w:tabs>
        <w:suppressAutoHyphens/>
        <w:ind w:left="1843" w:hanging="1559"/>
        <w:jc w:val="center"/>
        <w:rPr>
          <w:rFonts w:cs="Arial"/>
          <w:b/>
          <w:color w:val="1F3864" w:themeColor="accent5" w:themeShade="80"/>
          <w:sz w:val="26"/>
          <w:szCs w:val="26"/>
        </w:rPr>
      </w:pPr>
      <w:r w:rsidRPr="00BF4B4E">
        <w:rPr>
          <w:rFonts w:cs="Arial"/>
          <w:b/>
          <w:color w:val="1F3864" w:themeColor="accent5" w:themeShade="80"/>
          <w:sz w:val="26"/>
          <w:szCs w:val="26"/>
        </w:rPr>
        <w:t>Article 10 – Financial Controls, Audits</w:t>
      </w:r>
    </w:p>
    <w:p w14:paraId="3B0AB585" w14:textId="40A7CED6" w:rsidR="00861EE3" w:rsidRPr="00BF4B4E" w:rsidRDefault="00861EE3" w:rsidP="00EA5097">
      <w:pPr>
        <w:widowControl w:val="0"/>
        <w:numPr>
          <w:ilvl w:val="0"/>
          <w:numId w:val="11"/>
        </w:numPr>
        <w:tabs>
          <w:tab w:val="left" w:pos="-1440"/>
          <w:tab w:val="left" w:pos="0"/>
          <w:tab w:val="left" w:pos="284"/>
        </w:tabs>
        <w:suppressAutoHyphens/>
        <w:spacing w:before="120" w:after="0" w:line="276" w:lineRule="auto"/>
        <w:ind w:left="284"/>
        <w:jc w:val="both"/>
        <w:rPr>
          <w:color w:val="1F3864" w:themeColor="accent5" w:themeShade="80"/>
        </w:rPr>
      </w:pPr>
      <w:r w:rsidRPr="00BF4B4E">
        <w:rPr>
          <w:color w:val="1F3864" w:themeColor="accent5" w:themeShade="80"/>
        </w:rPr>
        <w:t xml:space="preserve">The European Commission, the European Anti-Fraud Office (OLAF), the European Court of Auditors (ECA) and, within their responsibility, the auditing bodies or other national public auditing bodies as well as the Programme Audit Authority (AA), the MA or </w:t>
      </w:r>
      <w:r w:rsidR="00EA702E" w:rsidRPr="00BF4B4E">
        <w:rPr>
          <w:color w:val="1F3864" w:themeColor="accent5" w:themeShade="80"/>
        </w:rPr>
        <w:t xml:space="preserve">Accounting Body </w:t>
      </w:r>
      <w:r w:rsidRPr="00BF4B4E">
        <w:rPr>
          <w:color w:val="1F3864" w:themeColor="accent5" w:themeShade="80"/>
        </w:rPr>
        <w:t>and the JS are entitled to audit the proper use of funds by the partner/Country or to arrange for such an audit to be carried out by authorized persons. The partner will be notified in due time about any audit to be carried out on their expenditure.</w:t>
      </w:r>
    </w:p>
    <w:p w14:paraId="24E28B1B" w14:textId="046BD2E8" w:rsidR="00861EE3" w:rsidRPr="00BF4B4E" w:rsidRDefault="00861EE3" w:rsidP="00EA5097">
      <w:pPr>
        <w:widowControl w:val="0"/>
        <w:numPr>
          <w:ilvl w:val="0"/>
          <w:numId w:val="11"/>
        </w:numPr>
        <w:tabs>
          <w:tab w:val="left" w:pos="-1440"/>
          <w:tab w:val="left" w:pos="0"/>
          <w:tab w:val="left" w:pos="284"/>
        </w:tabs>
        <w:suppressAutoHyphens/>
        <w:spacing w:before="120" w:after="0" w:line="276" w:lineRule="auto"/>
        <w:ind w:left="284" w:hanging="284"/>
        <w:jc w:val="both"/>
        <w:rPr>
          <w:rFonts w:ascii="inherit" w:hAnsi="inherit"/>
          <w:color w:val="212121"/>
        </w:rPr>
      </w:pPr>
      <w:r w:rsidRPr="00BF4B4E">
        <w:rPr>
          <w:color w:val="1F3864" w:themeColor="accent5" w:themeShade="80"/>
        </w:rPr>
        <w:t>The partner undertakes all the necessary actions to comply with the fundamental requirements, the applicable laws and programme documents (</w:t>
      </w:r>
      <w:r w:rsidR="00EA702E" w:rsidRPr="00BF4B4E">
        <w:rPr>
          <w:color w:val="1F3864" w:themeColor="accent5" w:themeShade="80"/>
        </w:rPr>
        <w:t>e.g.,</w:t>
      </w:r>
      <w:r w:rsidRPr="00BF4B4E">
        <w:rPr>
          <w:color w:val="1F3864" w:themeColor="accent5" w:themeShade="80"/>
        </w:rPr>
        <w:t xml:space="preserve"> Programme Manual) to provide comprehensive documentation on compliance with those norms and the accessibility to this documentation. Besides the obligations </w:t>
      </w:r>
      <w:r w:rsidR="002775C6" w:rsidRPr="00BF4B4E">
        <w:rPr>
          <w:color w:val="1F3864" w:themeColor="accent5" w:themeShade="80"/>
        </w:rPr>
        <w:t>regarding</w:t>
      </w:r>
      <w:r w:rsidRPr="00BF4B4E">
        <w:rPr>
          <w:color w:val="1F3864" w:themeColor="accent5" w:themeShade="80"/>
        </w:rPr>
        <w:t xml:space="preserve"> reporting and information, the LP particularly: </w:t>
      </w:r>
    </w:p>
    <w:p w14:paraId="21FF51D8" w14:textId="77777777" w:rsidR="00861EE3" w:rsidRPr="00BF4B4E" w:rsidRDefault="00861EE3" w:rsidP="00EA5097">
      <w:pPr>
        <w:widowControl w:val="0"/>
        <w:numPr>
          <w:ilvl w:val="1"/>
          <w:numId w:val="11"/>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 xml:space="preserve">Keeps all documents and data required for controls and audits safely and orderly as further specified in Article 10 of this Agreement; </w:t>
      </w:r>
    </w:p>
    <w:p w14:paraId="5AF38670" w14:textId="620E96C5" w:rsidR="00861EE3" w:rsidRPr="00BF4B4E" w:rsidRDefault="00861EE3" w:rsidP="00EA5097">
      <w:pPr>
        <w:widowControl w:val="0"/>
        <w:numPr>
          <w:ilvl w:val="1"/>
          <w:numId w:val="11"/>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Makes all necessary arrangements to ensure that any audit, notified by a duly authorized institution</w:t>
      </w:r>
      <w:r w:rsidR="00EA702E" w:rsidRPr="00BF4B4E">
        <w:rPr>
          <w:color w:val="1F3864" w:themeColor="accent5" w:themeShade="80"/>
        </w:rPr>
        <w:t>,</w:t>
      </w:r>
      <w:r w:rsidRPr="00BF4B4E">
        <w:rPr>
          <w:color w:val="1F3864" w:themeColor="accent5" w:themeShade="80"/>
        </w:rPr>
        <w:t xml:space="preserve"> can be carried out smoothly, and</w:t>
      </w:r>
    </w:p>
    <w:p w14:paraId="4B794EA7" w14:textId="3786B89E" w:rsidR="00861EE3" w:rsidRPr="00BF4B4E" w:rsidRDefault="00861EE3" w:rsidP="00EA5097">
      <w:pPr>
        <w:widowControl w:val="0"/>
        <w:numPr>
          <w:ilvl w:val="1"/>
          <w:numId w:val="11"/>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 xml:space="preserve">Provides any requested information to these institutions about the project and gives access to their business premises, </w:t>
      </w:r>
      <w:proofErr w:type="gramStart"/>
      <w:r w:rsidR="002775C6" w:rsidRPr="00BF4B4E">
        <w:rPr>
          <w:color w:val="1F3864" w:themeColor="accent5" w:themeShade="80"/>
        </w:rPr>
        <w:t>provides</w:t>
      </w:r>
      <w:proofErr w:type="gramEnd"/>
      <w:r w:rsidRPr="00BF4B4E">
        <w:rPr>
          <w:color w:val="1F3864" w:themeColor="accent5" w:themeShade="80"/>
        </w:rPr>
        <w:t xml:space="preserve"> and gives access to all the information and documents supporting the audit trail as requested in the European Structural and Investment Funds Regulations, Delegated and Implementing Acts and the Programme Manual.</w:t>
      </w:r>
    </w:p>
    <w:p w14:paraId="07CB3FF4" w14:textId="466550ED" w:rsidR="00861EE3" w:rsidRPr="00BF4B4E" w:rsidRDefault="00861EE3" w:rsidP="00EA5097">
      <w:pPr>
        <w:widowControl w:val="0"/>
        <w:numPr>
          <w:ilvl w:val="0"/>
          <w:numId w:val="11"/>
        </w:numPr>
        <w:tabs>
          <w:tab w:val="left" w:pos="-1440"/>
          <w:tab w:val="left" w:pos="0"/>
          <w:tab w:val="left" w:pos="142"/>
        </w:tabs>
        <w:suppressAutoHyphens/>
        <w:spacing w:before="120" w:after="0" w:line="276" w:lineRule="auto"/>
        <w:ind w:left="284" w:hanging="284"/>
        <w:jc w:val="both"/>
        <w:rPr>
          <w:color w:val="1F3864" w:themeColor="accent5" w:themeShade="80"/>
        </w:rPr>
      </w:pPr>
      <w:r w:rsidRPr="00BF4B4E">
        <w:rPr>
          <w:color w:val="1F3864" w:themeColor="accent5" w:themeShade="80"/>
        </w:rPr>
        <w:t xml:space="preserve">If, </w:t>
      </w:r>
      <w:r w:rsidR="002775C6" w:rsidRPr="00BF4B4E">
        <w:rPr>
          <w:color w:val="1F3864" w:themeColor="accent5" w:themeShade="80"/>
        </w:rPr>
        <w:t>because of</w:t>
      </w:r>
      <w:r w:rsidRPr="00BF4B4E">
        <w:rPr>
          <w:color w:val="1F3864" w:themeColor="accent5" w:themeShade="80"/>
        </w:rPr>
        <w:t xml:space="preserve"> the controls and audits</w:t>
      </w:r>
      <w:r w:rsidR="00EA702E" w:rsidRPr="00BF4B4E">
        <w:rPr>
          <w:color w:val="1F3864" w:themeColor="accent5" w:themeShade="80"/>
        </w:rPr>
        <w:t>,</w:t>
      </w:r>
      <w:r w:rsidRPr="00BF4B4E">
        <w:rPr>
          <w:color w:val="1F3864" w:themeColor="accent5" w:themeShade="80"/>
        </w:rPr>
        <w:t xml:space="preserve"> any expenditure is considered non eligible according to the regulatory framework of this Agreement, the procedure described in Article </w:t>
      </w:r>
      <w:r w:rsidR="00EA702E" w:rsidRPr="00BF4B4E">
        <w:rPr>
          <w:color w:val="1F3864" w:themeColor="accent5" w:themeShade="80"/>
        </w:rPr>
        <w:t>8 (2)</w:t>
      </w:r>
      <w:r w:rsidRPr="00BF4B4E">
        <w:rPr>
          <w:color w:val="1F3864" w:themeColor="accent5" w:themeShade="80"/>
        </w:rPr>
        <w:t xml:space="preserve"> </w:t>
      </w:r>
      <w:r w:rsidR="00707623" w:rsidRPr="00BF4B4E">
        <w:rPr>
          <w:color w:val="1F3864" w:themeColor="accent5" w:themeShade="80"/>
        </w:rPr>
        <w:t xml:space="preserve">and Article 11 </w:t>
      </w:r>
      <w:r w:rsidRPr="00BF4B4E">
        <w:rPr>
          <w:color w:val="1F3864" w:themeColor="accent5" w:themeShade="80"/>
        </w:rPr>
        <w:t>of this Agreement shall apply.</w:t>
      </w:r>
    </w:p>
    <w:p w14:paraId="1B611A9B" w14:textId="37DE7189" w:rsidR="00861EE3" w:rsidRPr="00BF4B4E" w:rsidRDefault="00861EE3" w:rsidP="00EA5097">
      <w:pPr>
        <w:widowControl w:val="0"/>
        <w:numPr>
          <w:ilvl w:val="0"/>
          <w:numId w:val="11"/>
        </w:numPr>
        <w:tabs>
          <w:tab w:val="left" w:pos="-1440"/>
          <w:tab w:val="left" w:pos="0"/>
          <w:tab w:val="left" w:pos="142"/>
        </w:tabs>
        <w:suppressAutoHyphens/>
        <w:spacing w:before="120" w:after="0" w:line="276" w:lineRule="auto"/>
        <w:ind w:left="284" w:hanging="284"/>
        <w:jc w:val="both"/>
        <w:rPr>
          <w:color w:val="1F3864" w:themeColor="accent5" w:themeShade="80"/>
        </w:rPr>
      </w:pPr>
      <w:r w:rsidRPr="00BF4B4E">
        <w:rPr>
          <w:color w:val="1F3864" w:themeColor="accent5" w:themeShade="80"/>
        </w:rPr>
        <w:t xml:space="preserve">The management and control system set up in the </w:t>
      </w:r>
      <w:proofErr w:type="gramStart"/>
      <w:r w:rsidR="002775C6" w:rsidRPr="00BF4B4E">
        <w:rPr>
          <w:color w:val="1F3864" w:themeColor="accent5" w:themeShade="80"/>
          <w:highlight w:val="yellow"/>
        </w:rPr>
        <w:t>…..</w:t>
      </w:r>
      <w:proofErr w:type="gramEnd"/>
      <w:r w:rsidRPr="00BF4B4E">
        <w:rPr>
          <w:color w:val="1F3864" w:themeColor="accent5" w:themeShade="80"/>
        </w:rPr>
        <w:t xml:space="preserve"> shall be sufficiently detailed and comply with the European Commission “Guiding Rules for the Implementation of Member States Control Systems” and the MA Description of Management and Control System to ensure that the information sent to the MA is enough to validate the adequacy of administrative and on-the-spot verifications, the legality and regularity of expenditures and the treatment of irregularities </w:t>
      </w:r>
      <w:proofErr w:type="gramStart"/>
      <w:r w:rsidRPr="00BF4B4E">
        <w:rPr>
          <w:color w:val="1F3864" w:themeColor="accent5" w:themeShade="80"/>
        </w:rPr>
        <w:t>detected</w:t>
      </w:r>
      <w:proofErr w:type="gramEnd"/>
      <w:r w:rsidRPr="00BF4B4E">
        <w:rPr>
          <w:color w:val="1F3864" w:themeColor="accent5" w:themeShade="80"/>
        </w:rPr>
        <w:t xml:space="preserve"> and corrective measures adopted. </w:t>
      </w:r>
    </w:p>
    <w:p w14:paraId="7746712A" w14:textId="573CF491" w:rsidR="00861EE3" w:rsidRPr="00BF4B4E" w:rsidRDefault="00861EE3" w:rsidP="00EA5097">
      <w:pPr>
        <w:pStyle w:val="PargrafodaLista"/>
        <w:numPr>
          <w:ilvl w:val="0"/>
          <w:numId w:val="11"/>
        </w:numPr>
        <w:spacing w:after="0" w:line="276" w:lineRule="auto"/>
        <w:jc w:val="both"/>
        <w:rPr>
          <w:rFonts w:eastAsia="Calibri"/>
          <w:color w:val="1F3864" w:themeColor="accent5" w:themeShade="80"/>
        </w:rPr>
      </w:pPr>
      <w:r w:rsidRPr="00BF4B4E">
        <w:rPr>
          <w:rFonts w:eastAsia="Calibri"/>
          <w:color w:val="1F3864" w:themeColor="accent5" w:themeShade="80"/>
        </w:rPr>
        <w:t xml:space="preserve">The rules concerning the accounting records of operations and audit trails shall be described in detail in the Management and Control System Procedures Manual of the </w:t>
      </w:r>
      <w:r w:rsidR="002775C6" w:rsidRPr="00BF4B4E">
        <w:rPr>
          <w:rFonts w:eastAsia="Calibri"/>
          <w:color w:val="1F3864" w:themeColor="accent5" w:themeShade="80"/>
          <w:highlight w:val="yellow"/>
        </w:rPr>
        <w:t>….</w:t>
      </w:r>
      <w:r w:rsidRPr="00BF4B4E">
        <w:rPr>
          <w:rFonts w:eastAsia="Calibri"/>
          <w:color w:val="1F3864" w:themeColor="accent5" w:themeShade="80"/>
        </w:rPr>
        <w:t xml:space="preserve"> which is attached to this protocol.</w:t>
      </w:r>
    </w:p>
    <w:p w14:paraId="647055B0" w14:textId="0E136113" w:rsidR="00861EE3" w:rsidRPr="00BF4B4E" w:rsidRDefault="00861EE3" w:rsidP="00EA5097">
      <w:pPr>
        <w:pStyle w:val="PargrafodaLista"/>
        <w:numPr>
          <w:ilvl w:val="0"/>
          <w:numId w:val="11"/>
        </w:numPr>
        <w:spacing w:after="0" w:line="276" w:lineRule="auto"/>
        <w:jc w:val="both"/>
        <w:rPr>
          <w:rFonts w:eastAsia="Calibri"/>
          <w:color w:val="1F3864" w:themeColor="accent5" w:themeShade="80"/>
        </w:rPr>
      </w:pPr>
      <w:r w:rsidRPr="00BF4B4E">
        <w:rPr>
          <w:rFonts w:eastAsia="Calibri"/>
          <w:color w:val="1F3864" w:themeColor="accent5" w:themeShade="80"/>
        </w:rPr>
        <w:t xml:space="preserve">The </w:t>
      </w:r>
      <w:r w:rsidR="002775C6" w:rsidRPr="00BF4B4E">
        <w:rPr>
          <w:rFonts w:eastAsia="Calibri"/>
          <w:color w:val="1F3864" w:themeColor="accent5" w:themeShade="80"/>
          <w:highlight w:val="yellow"/>
        </w:rPr>
        <w:t>……….</w:t>
      </w:r>
      <w:r w:rsidRPr="00BF4B4E">
        <w:rPr>
          <w:rFonts w:eastAsia="Calibri"/>
          <w:color w:val="1F3864" w:themeColor="accent5" w:themeShade="80"/>
        </w:rPr>
        <w:t xml:space="preserve"> designates through its Management and Control System Procedures Manual the control bodies in charge of verifying the legality and regularity of expenditures declared by partners located in its territory.</w:t>
      </w:r>
    </w:p>
    <w:p w14:paraId="44941D79" w14:textId="2502C918" w:rsidR="00861EE3" w:rsidRPr="00BF4B4E" w:rsidRDefault="00861EE3" w:rsidP="00EA5097">
      <w:pPr>
        <w:pStyle w:val="PargrafodaLista"/>
        <w:numPr>
          <w:ilvl w:val="0"/>
          <w:numId w:val="11"/>
        </w:numPr>
        <w:spacing w:after="0" w:line="276" w:lineRule="auto"/>
        <w:jc w:val="both"/>
        <w:rPr>
          <w:rFonts w:eastAsia="Calibri"/>
          <w:color w:val="1F3864" w:themeColor="accent5" w:themeShade="80"/>
        </w:rPr>
      </w:pPr>
      <w:r w:rsidRPr="00BF4B4E">
        <w:rPr>
          <w:rFonts w:eastAsia="Calibri"/>
          <w:color w:val="1F3864" w:themeColor="accent5" w:themeShade="80"/>
        </w:rPr>
        <w:t xml:space="preserve">Furthermore, the Management and Control System Procedures Manual of the </w:t>
      </w:r>
      <w:r w:rsidR="002775C6" w:rsidRPr="00BF4B4E">
        <w:rPr>
          <w:rFonts w:eastAsia="Calibri"/>
          <w:color w:val="1F3864" w:themeColor="accent5" w:themeShade="80"/>
          <w:highlight w:val="yellow"/>
        </w:rPr>
        <w:t>……</w:t>
      </w:r>
      <w:r w:rsidRPr="00BF4B4E">
        <w:rPr>
          <w:rFonts w:eastAsia="Calibri"/>
          <w:color w:val="1F3864" w:themeColor="accent5" w:themeShade="80"/>
        </w:rPr>
        <w:t xml:space="preserve">describes, according to the </w:t>
      </w:r>
      <w:r w:rsidRPr="00BF4B4E">
        <w:rPr>
          <w:color w:val="1F3864" w:themeColor="accent5" w:themeShade="80"/>
        </w:rPr>
        <w:t>European Commission “Guiding Rules for the Implementation of Member States Control Systems” as defined in the MA Description of Management and Control System</w:t>
      </w:r>
      <w:r w:rsidRPr="00BF4B4E">
        <w:rPr>
          <w:rFonts w:eastAsia="Calibri"/>
          <w:color w:val="1F3864" w:themeColor="accent5" w:themeShade="80"/>
        </w:rPr>
        <w:t xml:space="preserve">, the system of control adopted, how is ensured the separation of functions, the procedures used for the administrative and on-the-spot verifications, the procedures for reimbursement claims, the </w:t>
      </w:r>
      <w:r w:rsidRPr="00BF4B4E">
        <w:rPr>
          <w:rFonts w:eastAsia="Calibri"/>
          <w:color w:val="1F3864" w:themeColor="accent5" w:themeShade="80"/>
        </w:rPr>
        <w:lastRenderedPageBreak/>
        <w:t>treatment of irregularities and recoveries and the supervision and control of quality of first level verifications.</w:t>
      </w:r>
    </w:p>
    <w:p w14:paraId="013B9150" w14:textId="6E7DF23A" w:rsidR="00861EE3" w:rsidRPr="00BF4B4E" w:rsidRDefault="00861EE3" w:rsidP="00EA5097">
      <w:pPr>
        <w:pStyle w:val="PargrafodaLista"/>
        <w:numPr>
          <w:ilvl w:val="0"/>
          <w:numId w:val="11"/>
        </w:numPr>
        <w:spacing w:after="0" w:line="276" w:lineRule="auto"/>
        <w:jc w:val="both"/>
        <w:rPr>
          <w:rFonts w:eastAsia="Calibri"/>
          <w:color w:val="1F3864" w:themeColor="accent5" w:themeShade="80"/>
        </w:rPr>
      </w:pPr>
      <w:r w:rsidRPr="00BF4B4E">
        <w:rPr>
          <w:rFonts w:eastAsia="Calibri"/>
          <w:color w:val="1F3864" w:themeColor="accent5" w:themeShade="80"/>
        </w:rPr>
        <w:t xml:space="preserve">Any irregularities concerning partners located in the </w:t>
      </w:r>
      <w:r w:rsidR="002775C6" w:rsidRPr="00BF4B4E">
        <w:rPr>
          <w:rFonts w:eastAsia="Calibri"/>
          <w:color w:val="1F3864" w:themeColor="accent5" w:themeShade="80"/>
          <w:highlight w:val="yellow"/>
        </w:rPr>
        <w:t>…</w:t>
      </w:r>
      <w:proofErr w:type="gramStart"/>
      <w:r w:rsidR="002775C6" w:rsidRPr="00BF4B4E">
        <w:rPr>
          <w:rFonts w:eastAsia="Calibri"/>
          <w:color w:val="1F3864" w:themeColor="accent5" w:themeShade="80"/>
          <w:highlight w:val="yellow"/>
        </w:rPr>
        <w:t>…..</w:t>
      </w:r>
      <w:proofErr w:type="gramEnd"/>
      <w:r w:rsidRPr="00BF4B4E">
        <w:rPr>
          <w:rFonts w:eastAsia="Calibri"/>
          <w:color w:val="1F3864" w:themeColor="accent5" w:themeShade="80"/>
        </w:rPr>
        <w:t xml:space="preserve"> shall be reported to the MA by the national responsible entity.</w:t>
      </w:r>
    </w:p>
    <w:p w14:paraId="6542622F" w14:textId="6BB65BA6" w:rsidR="00861EE3" w:rsidRPr="00BF4B4E" w:rsidRDefault="00861EE3" w:rsidP="00EA5097">
      <w:pPr>
        <w:pStyle w:val="PargrafodaLista"/>
        <w:numPr>
          <w:ilvl w:val="0"/>
          <w:numId w:val="11"/>
        </w:numPr>
        <w:spacing w:after="0" w:line="240" w:lineRule="auto"/>
        <w:jc w:val="both"/>
        <w:rPr>
          <w:rFonts w:eastAsia="Calibri"/>
          <w:color w:val="1F3864" w:themeColor="accent5" w:themeShade="80"/>
        </w:rPr>
      </w:pPr>
      <w:r w:rsidRPr="00BF4B4E">
        <w:rPr>
          <w:rFonts w:eastAsia="Calibri"/>
          <w:color w:val="1F3864" w:themeColor="accent5" w:themeShade="80"/>
        </w:rPr>
        <w:t xml:space="preserve">The National Audit Service (on behalf of the signee of this contract) agrees to assist the Audit Authority </w:t>
      </w:r>
      <w:r w:rsidR="00EA702E" w:rsidRPr="00BF4B4E">
        <w:rPr>
          <w:rFonts w:eastAsia="Calibri"/>
          <w:color w:val="1F3864" w:themeColor="accent5" w:themeShade="80"/>
        </w:rPr>
        <w:t xml:space="preserve">in </w:t>
      </w:r>
      <w:r w:rsidRPr="00BF4B4E">
        <w:rPr>
          <w:rFonts w:eastAsia="Calibri"/>
          <w:color w:val="1F3864" w:themeColor="accent5" w:themeShade="80"/>
        </w:rPr>
        <w:t xml:space="preserve">carrying out the audit procedures covering the co-financed operations participated by partners located in its territory. </w:t>
      </w:r>
    </w:p>
    <w:p w14:paraId="3EBD80CA" w14:textId="2E87EB19" w:rsidR="00861EE3" w:rsidRPr="00BF4B4E" w:rsidRDefault="00861EE3" w:rsidP="00EA5097">
      <w:pPr>
        <w:pStyle w:val="PargrafodaLista"/>
        <w:numPr>
          <w:ilvl w:val="0"/>
          <w:numId w:val="11"/>
        </w:numPr>
        <w:spacing w:after="0" w:line="240" w:lineRule="auto"/>
        <w:jc w:val="both"/>
        <w:rPr>
          <w:rFonts w:eastAsia="Calibri"/>
          <w:color w:val="1F3864" w:themeColor="accent5" w:themeShade="80"/>
        </w:rPr>
      </w:pPr>
      <w:r w:rsidRPr="00BF4B4E">
        <w:rPr>
          <w:rFonts w:eastAsia="Calibri"/>
          <w:color w:val="1F3864" w:themeColor="accent5" w:themeShade="80"/>
        </w:rPr>
        <w:t xml:space="preserve">Expenditure incurred by the partner shall be checked by a first level controller, to be designated by the </w:t>
      </w:r>
      <w:r w:rsidR="002775C6" w:rsidRPr="00BF4B4E">
        <w:rPr>
          <w:rFonts w:eastAsia="Calibri"/>
          <w:color w:val="1F3864" w:themeColor="accent5" w:themeShade="80"/>
          <w:highlight w:val="yellow"/>
        </w:rPr>
        <w:t>…………</w:t>
      </w:r>
      <w:proofErr w:type="gramStart"/>
      <w:r w:rsidR="002775C6" w:rsidRPr="00BF4B4E">
        <w:rPr>
          <w:rFonts w:eastAsia="Calibri"/>
          <w:color w:val="1F3864" w:themeColor="accent5" w:themeShade="80"/>
          <w:highlight w:val="yellow"/>
        </w:rPr>
        <w:t>….</w:t>
      </w:r>
      <w:r w:rsidR="002775C6" w:rsidRPr="00BF4B4E">
        <w:rPr>
          <w:rFonts w:eastAsia="Calibri"/>
          <w:color w:val="1F3864" w:themeColor="accent5" w:themeShade="80"/>
        </w:rPr>
        <w:t>.</w:t>
      </w:r>
      <w:proofErr w:type="gramEnd"/>
      <w:r w:rsidRPr="00BF4B4E">
        <w:rPr>
          <w:color w:val="1F3864" w:themeColor="accent5" w:themeShade="80"/>
        </w:rPr>
        <w:t xml:space="preserve"> on </w:t>
      </w:r>
      <w:r w:rsidR="00EA702E" w:rsidRPr="00BF4B4E">
        <w:rPr>
          <w:color w:val="1F3864" w:themeColor="accent5" w:themeShade="80"/>
        </w:rPr>
        <w:t xml:space="preserve">a </w:t>
      </w:r>
      <w:r w:rsidRPr="00BF4B4E">
        <w:rPr>
          <w:color w:val="1F3864" w:themeColor="accent5" w:themeShade="80"/>
        </w:rPr>
        <w:t xml:space="preserve">proposal of the project partner. The expenditure controlled shall be subject to quality control, if selected for second level control, carried out by </w:t>
      </w:r>
      <w:r w:rsidRPr="00BF4B4E">
        <w:rPr>
          <w:color w:val="1F3864" w:themeColor="accent5" w:themeShade="80"/>
          <w:highlight w:val="yellow"/>
        </w:rPr>
        <w:t>XXXXXXXXXXXXXXXXXXXX</w:t>
      </w:r>
      <w:r w:rsidR="00EA702E" w:rsidRPr="00BF4B4E">
        <w:rPr>
          <w:color w:val="1F3864" w:themeColor="accent5" w:themeShade="80"/>
        </w:rPr>
        <w:t>.</w:t>
      </w:r>
      <w:r w:rsidRPr="00BF4B4E">
        <w:rPr>
          <w:color w:val="1F3864" w:themeColor="accent5" w:themeShade="80"/>
        </w:rPr>
        <w:t xml:space="preserve"> </w:t>
      </w:r>
    </w:p>
    <w:p w14:paraId="070290EA" w14:textId="77777777" w:rsidR="00861EE3" w:rsidRPr="00BF4B4E" w:rsidRDefault="00861EE3" w:rsidP="00861EE3">
      <w:pPr>
        <w:jc w:val="both"/>
        <w:rPr>
          <w:color w:val="1F3864" w:themeColor="accent5" w:themeShade="80"/>
        </w:rPr>
      </w:pPr>
    </w:p>
    <w:p w14:paraId="087E1815" w14:textId="77777777" w:rsidR="00861EE3" w:rsidRPr="00BF4B4E" w:rsidRDefault="00861EE3" w:rsidP="00861EE3">
      <w:pPr>
        <w:widowControl w:val="0"/>
        <w:tabs>
          <w:tab w:val="left" w:pos="-1440"/>
        </w:tabs>
        <w:suppressAutoHyphens/>
        <w:ind w:left="1843" w:hanging="1559"/>
        <w:jc w:val="center"/>
        <w:rPr>
          <w:color w:val="1F3864" w:themeColor="accent5" w:themeShade="80"/>
          <w:sz w:val="26"/>
          <w:szCs w:val="26"/>
          <w:highlight w:val="yellow"/>
        </w:rPr>
      </w:pPr>
      <w:r w:rsidRPr="00BF4B4E">
        <w:rPr>
          <w:rFonts w:cs="Arial"/>
          <w:b/>
          <w:color w:val="1F3864" w:themeColor="accent5" w:themeShade="80"/>
          <w:sz w:val="26"/>
          <w:szCs w:val="26"/>
        </w:rPr>
        <w:t>Article 11 – Withdrawal or Recovery of Funds</w:t>
      </w:r>
    </w:p>
    <w:p w14:paraId="686EA482" w14:textId="64698F7D" w:rsidR="00861EE3" w:rsidRPr="00BF4B4E" w:rsidRDefault="00861EE3" w:rsidP="00EA5097">
      <w:pPr>
        <w:widowControl w:val="0"/>
        <w:numPr>
          <w:ilvl w:val="0"/>
          <w:numId w:val="12"/>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 xml:space="preserve">In case the MA or </w:t>
      </w:r>
      <w:r w:rsidR="00FB2509" w:rsidRPr="00BF4B4E">
        <w:rPr>
          <w:color w:val="1F3864" w:themeColor="accent5" w:themeShade="80"/>
        </w:rPr>
        <w:t>the Accounting Body</w:t>
      </w:r>
      <w:r w:rsidRPr="00BF4B4E">
        <w:rPr>
          <w:color w:val="1F3864" w:themeColor="accent5" w:themeShade="80"/>
        </w:rPr>
        <w:t xml:space="preserve">  discover (e.g.</w:t>
      </w:r>
      <w:r w:rsidR="005C439B" w:rsidRPr="00BF4B4E">
        <w:rPr>
          <w:color w:val="1F3864" w:themeColor="accent5" w:themeShade="80"/>
        </w:rPr>
        <w:t>,</w:t>
      </w:r>
      <w:r w:rsidRPr="00BF4B4E">
        <w:rPr>
          <w:color w:val="1F3864" w:themeColor="accent5" w:themeShade="80"/>
        </w:rPr>
        <w:t xml:space="preserve"> during the day-to-day management or on-site checks) any unduly paid out funds, e.g.</w:t>
      </w:r>
      <w:r w:rsidR="005C439B" w:rsidRPr="00BF4B4E">
        <w:rPr>
          <w:color w:val="1F3864" w:themeColor="accent5" w:themeShade="80"/>
        </w:rPr>
        <w:t>,</w:t>
      </w:r>
      <w:r w:rsidRPr="00BF4B4E">
        <w:rPr>
          <w:color w:val="1F3864" w:themeColor="accent5" w:themeShade="80"/>
        </w:rPr>
        <w:t xml:space="preserve"> due to administrative errors or irregularities, a breach of contract or infringement of the legal provisions as laid out in Article 1 of this document, or in case the MA is notified of such cases, the MA or </w:t>
      </w:r>
      <w:r w:rsidR="005C439B" w:rsidRPr="00BF4B4E">
        <w:rPr>
          <w:color w:val="1F3864" w:themeColor="accent5" w:themeShade="80"/>
        </w:rPr>
        <w:t xml:space="preserve">the Accounting Body </w:t>
      </w:r>
      <w:r w:rsidRPr="00BF4B4E">
        <w:rPr>
          <w:color w:val="1F3864" w:themeColor="accent5" w:themeShade="80"/>
        </w:rPr>
        <w:t xml:space="preserve">shall, if necessary in consultation with the respective MS concerned and by informing the MC, demand the repayment of the subsidy in whole or in part. </w:t>
      </w:r>
    </w:p>
    <w:p w14:paraId="77AA08FB" w14:textId="0959A5C7" w:rsidR="00861EE3" w:rsidRPr="00BF4B4E" w:rsidRDefault="00861EE3" w:rsidP="00EA5097">
      <w:pPr>
        <w:widowControl w:val="0"/>
        <w:numPr>
          <w:ilvl w:val="0"/>
          <w:numId w:val="12"/>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 xml:space="preserve">The amount to be repaid can be withdrawn from the </w:t>
      </w:r>
      <w:r w:rsidR="005C439B" w:rsidRPr="00BF4B4E">
        <w:rPr>
          <w:color w:val="1F3864" w:themeColor="accent5" w:themeShade="80"/>
        </w:rPr>
        <w:t xml:space="preserve">following </w:t>
      </w:r>
      <w:r w:rsidRPr="00BF4B4E">
        <w:rPr>
          <w:color w:val="1F3864" w:themeColor="accent5" w:themeShade="80"/>
        </w:rPr>
        <w:t xml:space="preserve">payment or, where applicable, </w:t>
      </w:r>
      <w:r w:rsidR="005C439B" w:rsidRPr="00BF4B4E">
        <w:rPr>
          <w:color w:val="1F3864" w:themeColor="accent5" w:themeShade="80"/>
        </w:rPr>
        <w:t xml:space="preserve">the </w:t>
      </w:r>
      <w:r w:rsidRPr="00BF4B4E">
        <w:rPr>
          <w:color w:val="1F3864" w:themeColor="accent5" w:themeShade="80"/>
        </w:rPr>
        <w:t xml:space="preserve">remaining payments can be suspended. In case of closed projects, the Partner is obliged to transfer the unduly paid-out funds to the MA. The repayment amount is due within one month following the date of receiving the notification by which the MA asserts the repayment claim; the due date will be stated explicitly in the order for recovery. In e-mail </w:t>
      </w:r>
      <w:r w:rsidR="002775C6" w:rsidRPr="00BF4B4E">
        <w:rPr>
          <w:color w:val="1F3864" w:themeColor="accent5" w:themeShade="80"/>
        </w:rPr>
        <w:t>correspondence,</w:t>
      </w:r>
      <w:r w:rsidRPr="00BF4B4E">
        <w:rPr>
          <w:color w:val="1F3864" w:themeColor="accent5" w:themeShade="80"/>
        </w:rPr>
        <w:t xml:space="preserve"> the relevant date shall be the date of sending the e-mail.</w:t>
      </w:r>
    </w:p>
    <w:p w14:paraId="51278BC1" w14:textId="47E5FBE6" w:rsidR="00861EE3" w:rsidRPr="00BF4B4E" w:rsidRDefault="00861EE3" w:rsidP="00EA5097">
      <w:pPr>
        <w:widowControl w:val="0"/>
        <w:numPr>
          <w:ilvl w:val="0"/>
          <w:numId w:val="12"/>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 xml:space="preserve">Any delay in effecting repayment shall give rise to interest on account of late payment, starting on the due date and ending on the date of actual payment. The rate of the late interest applied to the amount to be recovered will be calculated in accordance with Article </w:t>
      </w:r>
      <w:r w:rsidR="00EF5AE7" w:rsidRPr="00BF4B4E">
        <w:rPr>
          <w:color w:val="1F3864" w:themeColor="accent5" w:themeShade="80"/>
        </w:rPr>
        <w:t xml:space="preserve">88 </w:t>
      </w:r>
      <w:r w:rsidRPr="00BF4B4E">
        <w:rPr>
          <w:color w:val="1F3864" w:themeColor="accent5" w:themeShade="80"/>
        </w:rPr>
        <w:t>of Regulation (</w:t>
      </w:r>
      <w:r w:rsidR="00EF5AE7" w:rsidRPr="00BF4B4E">
        <w:rPr>
          <w:color w:val="1F3864" w:themeColor="accent5" w:themeShade="80"/>
        </w:rPr>
        <w:t>EU</w:t>
      </w:r>
      <w:r w:rsidRPr="00BF4B4E">
        <w:rPr>
          <w:color w:val="1F3864" w:themeColor="accent5" w:themeShade="80"/>
        </w:rPr>
        <w:t xml:space="preserve">) No </w:t>
      </w:r>
      <w:r w:rsidR="00EF5AE7" w:rsidRPr="00BF4B4E">
        <w:rPr>
          <w:color w:val="1F3864" w:themeColor="accent5" w:themeShade="80"/>
        </w:rPr>
        <w:t>2021</w:t>
      </w:r>
      <w:r w:rsidRPr="00BF4B4E">
        <w:rPr>
          <w:color w:val="1F3864" w:themeColor="accent5" w:themeShade="80"/>
        </w:rPr>
        <w:t>/</w:t>
      </w:r>
      <w:r w:rsidR="00EF5AE7" w:rsidRPr="00BF4B4E">
        <w:rPr>
          <w:color w:val="1F3864" w:themeColor="accent5" w:themeShade="80"/>
        </w:rPr>
        <w:t>1060</w:t>
      </w:r>
      <w:r w:rsidRPr="00BF4B4E">
        <w:rPr>
          <w:color w:val="1F3864" w:themeColor="accent5" w:themeShade="80"/>
        </w:rPr>
        <w:t>.</w:t>
      </w:r>
    </w:p>
    <w:p w14:paraId="75294DA4" w14:textId="77777777" w:rsidR="00861EE3" w:rsidRPr="00BF4B4E" w:rsidRDefault="00861EE3" w:rsidP="00861EE3">
      <w:pPr>
        <w:widowControl w:val="0"/>
        <w:tabs>
          <w:tab w:val="left" w:pos="-1440"/>
          <w:tab w:val="left" w:pos="0"/>
          <w:tab w:val="left" w:pos="284"/>
        </w:tabs>
        <w:suppressAutoHyphens/>
        <w:rPr>
          <w:color w:val="1F3864" w:themeColor="accent5" w:themeShade="80"/>
        </w:rPr>
      </w:pPr>
    </w:p>
    <w:p w14:paraId="4C94874F" w14:textId="1402A4DF" w:rsidR="00861EE3" w:rsidRPr="00BF4B4E" w:rsidRDefault="00861EE3" w:rsidP="00861EE3">
      <w:pPr>
        <w:widowControl w:val="0"/>
        <w:tabs>
          <w:tab w:val="left" w:pos="-1440"/>
        </w:tabs>
        <w:suppressAutoHyphens/>
        <w:ind w:left="1843" w:hanging="1559"/>
        <w:jc w:val="center"/>
        <w:rPr>
          <w:rFonts w:cs="Arial"/>
          <w:b/>
          <w:color w:val="1F3864" w:themeColor="accent5" w:themeShade="80"/>
          <w:sz w:val="26"/>
          <w:szCs w:val="26"/>
        </w:rPr>
      </w:pPr>
      <w:r w:rsidRPr="00BF4B4E">
        <w:rPr>
          <w:rFonts w:cs="Arial"/>
          <w:b/>
          <w:color w:val="1F3864" w:themeColor="accent5" w:themeShade="80"/>
          <w:sz w:val="26"/>
          <w:szCs w:val="26"/>
        </w:rPr>
        <w:t xml:space="preserve">Article 12– Publicity, </w:t>
      </w:r>
      <w:r w:rsidR="002775C6" w:rsidRPr="00BF4B4E">
        <w:rPr>
          <w:rFonts w:cs="Arial"/>
          <w:b/>
          <w:color w:val="1F3864" w:themeColor="accent5" w:themeShade="80"/>
          <w:sz w:val="26"/>
          <w:szCs w:val="26"/>
        </w:rPr>
        <w:t>Communication,</w:t>
      </w:r>
      <w:r w:rsidRPr="00BF4B4E">
        <w:rPr>
          <w:rFonts w:cs="Arial"/>
          <w:b/>
          <w:color w:val="1F3864" w:themeColor="accent5" w:themeShade="80"/>
          <w:sz w:val="26"/>
          <w:szCs w:val="26"/>
        </w:rPr>
        <w:t xml:space="preserve"> and branding</w:t>
      </w:r>
    </w:p>
    <w:p w14:paraId="7917CFEA" w14:textId="652893CA" w:rsidR="00861EE3" w:rsidRPr="00BF4B4E" w:rsidRDefault="00861EE3" w:rsidP="008D7717">
      <w:pPr>
        <w:widowControl w:val="0"/>
        <w:tabs>
          <w:tab w:val="left" w:pos="-1440"/>
          <w:tab w:val="left" w:pos="0"/>
        </w:tabs>
        <w:suppressAutoHyphens/>
        <w:spacing w:before="120" w:line="276" w:lineRule="auto"/>
        <w:jc w:val="both"/>
        <w:rPr>
          <w:color w:val="1F3864" w:themeColor="accent5" w:themeShade="80"/>
        </w:rPr>
      </w:pPr>
      <w:r w:rsidRPr="00BF4B4E">
        <w:rPr>
          <w:color w:val="1F3864" w:themeColor="accent5" w:themeShade="80"/>
        </w:rPr>
        <w:t>Unless the MA requests otherwise, any notice or publication made by the project</w:t>
      </w:r>
      <w:r w:rsidR="008D7717" w:rsidRPr="00BF4B4E">
        <w:rPr>
          <w:color w:val="1F3864" w:themeColor="accent5" w:themeShade="80"/>
        </w:rPr>
        <w:t>,</w:t>
      </w:r>
      <w:r w:rsidRPr="00BF4B4E">
        <w:rPr>
          <w:color w:val="1F3864" w:themeColor="accent5" w:themeShade="80"/>
        </w:rPr>
        <w:t xml:space="preserve"> including presentations at conferences or seminars, shall point out that the present project was implemented through financial assistance from ERDF funds of the AA Programme as required by </w:t>
      </w:r>
      <w:r w:rsidR="008D7717" w:rsidRPr="00BF4B4E">
        <w:rPr>
          <w:color w:val="1F3864" w:themeColor="accent5" w:themeShade="80"/>
        </w:rPr>
        <w:t xml:space="preserve">Chapter III Visibility, </w:t>
      </w:r>
      <w:proofErr w:type="gramStart"/>
      <w:r w:rsidR="008D7717" w:rsidRPr="00BF4B4E">
        <w:rPr>
          <w:color w:val="1F3864" w:themeColor="accent5" w:themeShade="80"/>
        </w:rPr>
        <w:t>transparency</w:t>
      </w:r>
      <w:proofErr w:type="gramEnd"/>
      <w:r w:rsidR="008D7717" w:rsidRPr="00BF4B4E">
        <w:rPr>
          <w:color w:val="1F3864" w:themeColor="accent5" w:themeShade="80"/>
        </w:rPr>
        <w:t xml:space="preserve"> and communication of </w:t>
      </w:r>
      <w:r w:rsidRPr="00BF4B4E">
        <w:rPr>
          <w:color w:val="1F3864" w:themeColor="accent5" w:themeShade="80"/>
        </w:rPr>
        <w:t xml:space="preserve">Regulation (EU) </w:t>
      </w:r>
      <w:r w:rsidR="008D7717" w:rsidRPr="00BF4B4E">
        <w:rPr>
          <w:color w:val="1F3864" w:themeColor="accent5" w:themeShade="80"/>
        </w:rPr>
        <w:t>2021</w:t>
      </w:r>
      <w:r w:rsidRPr="00BF4B4E">
        <w:rPr>
          <w:color w:val="1F3864" w:themeColor="accent5" w:themeShade="80"/>
        </w:rPr>
        <w:t>/</w:t>
      </w:r>
      <w:r w:rsidR="008D7717" w:rsidRPr="00BF4B4E">
        <w:rPr>
          <w:color w:val="1F3864" w:themeColor="accent5" w:themeShade="80"/>
        </w:rPr>
        <w:t>1060</w:t>
      </w:r>
      <w:r w:rsidRPr="00BF4B4E">
        <w:rPr>
          <w:color w:val="1F3864" w:themeColor="accent5" w:themeShade="80"/>
        </w:rPr>
        <w:t xml:space="preserve">. All information, communication and branding measures of the project shall be carried out </w:t>
      </w:r>
      <w:r w:rsidR="00EF3053" w:rsidRPr="00BF4B4E">
        <w:rPr>
          <w:color w:val="1F3864" w:themeColor="accent5" w:themeShade="80"/>
        </w:rPr>
        <w:t>following</w:t>
      </w:r>
      <w:r w:rsidRPr="00BF4B4E">
        <w:rPr>
          <w:color w:val="1F3864" w:themeColor="accent5" w:themeShade="80"/>
        </w:rPr>
        <w:t xml:space="preserve"> the </w:t>
      </w:r>
      <w:r w:rsidR="002775C6" w:rsidRPr="00BF4B4E">
        <w:rPr>
          <w:color w:val="1F3864" w:themeColor="accent5" w:themeShade="80"/>
        </w:rPr>
        <w:t>rules</w:t>
      </w:r>
      <w:r w:rsidRPr="00BF4B4E">
        <w:rPr>
          <w:color w:val="1F3864" w:themeColor="accent5" w:themeShade="80"/>
        </w:rPr>
        <w:t>, the latest version of the PAF, the Programme Manual and any other guidelines that could be issued by the Programme on the matter.</w:t>
      </w:r>
    </w:p>
    <w:p w14:paraId="21904BA1" w14:textId="77777777" w:rsidR="00861EE3" w:rsidRPr="00BF4B4E" w:rsidRDefault="00861EE3" w:rsidP="00861EE3">
      <w:pPr>
        <w:widowControl w:val="0"/>
        <w:tabs>
          <w:tab w:val="left" w:pos="-1440"/>
          <w:tab w:val="left" w:pos="0"/>
          <w:tab w:val="left" w:pos="284"/>
        </w:tabs>
        <w:suppressAutoHyphens/>
        <w:rPr>
          <w:color w:val="1F3864" w:themeColor="accent5" w:themeShade="80"/>
        </w:rPr>
      </w:pPr>
    </w:p>
    <w:p w14:paraId="37B230A3" w14:textId="77777777" w:rsidR="00861EE3" w:rsidRPr="00BF4B4E" w:rsidRDefault="00861EE3" w:rsidP="00861EE3">
      <w:pPr>
        <w:widowControl w:val="0"/>
        <w:tabs>
          <w:tab w:val="left" w:pos="-1440"/>
        </w:tabs>
        <w:suppressAutoHyphens/>
        <w:ind w:left="1843" w:hanging="1559"/>
        <w:jc w:val="center"/>
        <w:rPr>
          <w:color w:val="1F3864" w:themeColor="accent5" w:themeShade="80"/>
          <w:sz w:val="26"/>
          <w:szCs w:val="26"/>
          <w:highlight w:val="yellow"/>
        </w:rPr>
      </w:pPr>
      <w:r w:rsidRPr="00BF4B4E">
        <w:rPr>
          <w:rFonts w:cs="Arial"/>
          <w:b/>
          <w:color w:val="1F3864" w:themeColor="accent5" w:themeShade="80"/>
          <w:sz w:val="26"/>
          <w:szCs w:val="26"/>
        </w:rPr>
        <w:t>Article 13– Ownership / Use of Outputs</w:t>
      </w:r>
    </w:p>
    <w:p w14:paraId="4A00AC30" w14:textId="73A431DC" w:rsidR="00861EE3" w:rsidRPr="00BF4B4E" w:rsidRDefault="00861EE3" w:rsidP="00EA5097">
      <w:pPr>
        <w:widowControl w:val="0"/>
        <w:numPr>
          <w:ilvl w:val="0"/>
          <w:numId w:val="13"/>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 xml:space="preserve">Ownership, </w:t>
      </w:r>
      <w:r w:rsidR="00EF3053" w:rsidRPr="00BF4B4E">
        <w:rPr>
          <w:color w:val="1F3864" w:themeColor="accent5" w:themeShade="80"/>
        </w:rPr>
        <w:t>title,</w:t>
      </w:r>
      <w:r w:rsidRPr="00BF4B4E">
        <w:rPr>
          <w:color w:val="1F3864" w:themeColor="accent5" w:themeShade="80"/>
        </w:rPr>
        <w:t xml:space="preserve"> and industrial and intellectual property rights in project results</w:t>
      </w:r>
      <w:r w:rsidR="00EF3053" w:rsidRPr="00BF4B4E">
        <w:rPr>
          <w:color w:val="1F3864" w:themeColor="accent5" w:themeShade="80"/>
        </w:rPr>
        <w:t>,</w:t>
      </w:r>
      <w:r w:rsidRPr="00BF4B4E">
        <w:rPr>
          <w:color w:val="1F3864" w:themeColor="accent5" w:themeShade="80"/>
        </w:rPr>
        <w:t xml:space="preserve"> reports and other documents relating to it shall, depending on the applicable national law and/or the </w:t>
      </w:r>
      <w:r w:rsidRPr="00BF4B4E">
        <w:rPr>
          <w:color w:val="1F3864" w:themeColor="accent5" w:themeShade="80"/>
        </w:rPr>
        <w:lastRenderedPageBreak/>
        <w:t>Partnership Agreement, vest in the LP and/or its PPs. The partnership is entitled to establish the property rights of the products deriving from the project.</w:t>
      </w:r>
    </w:p>
    <w:p w14:paraId="16DA9883" w14:textId="30D2364D" w:rsidR="00861EE3" w:rsidRPr="00BF4B4E" w:rsidRDefault="00861EE3" w:rsidP="00EA5097">
      <w:pPr>
        <w:widowControl w:val="0"/>
        <w:numPr>
          <w:ilvl w:val="0"/>
          <w:numId w:val="13"/>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 xml:space="preserve">The ownership of outputs having the character of investments in infrastructure or productive investments realised within the project must remain with the concerned partner according to the timeframe as well as under the conditions set in Article </w:t>
      </w:r>
      <w:r w:rsidR="00EF3053" w:rsidRPr="00BF4B4E">
        <w:rPr>
          <w:color w:val="1F3864" w:themeColor="accent5" w:themeShade="80"/>
        </w:rPr>
        <w:t xml:space="preserve">65 </w:t>
      </w:r>
      <w:r w:rsidRPr="00BF4B4E">
        <w:rPr>
          <w:color w:val="1F3864" w:themeColor="accent5" w:themeShade="80"/>
        </w:rPr>
        <w:t xml:space="preserve">of Regulation (EU) No </w:t>
      </w:r>
      <w:r w:rsidR="00EF3053" w:rsidRPr="00BF4B4E">
        <w:rPr>
          <w:color w:val="1F3864" w:themeColor="accent5" w:themeShade="80"/>
        </w:rPr>
        <w:t>2021</w:t>
      </w:r>
      <w:r w:rsidRPr="00BF4B4E">
        <w:rPr>
          <w:color w:val="1F3864" w:themeColor="accent5" w:themeShade="80"/>
        </w:rPr>
        <w:t>/</w:t>
      </w:r>
      <w:r w:rsidR="00EF3053" w:rsidRPr="00BF4B4E">
        <w:rPr>
          <w:color w:val="1F3864" w:themeColor="accent5" w:themeShade="80"/>
        </w:rPr>
        <w:t>1060</w:t>
      </w:r>
      <w:r w:rsidRPr="00BF4B4E">
        <w:rPr>
          <w:color w:val="1F3864" w:themeColor="accent5" w:themeShade="80"/>
        </w:rPr>
        <w:t xml:space="preserve">. Should any of the conditions set by the mentioned Regulation not be met at a certain point of time, the MA/JS must be immediately informed by the partner. The MA will recover the unduly paid ERDF contribution in proportion to the period for which the requirements have not been fulfilled. </w:t>
      </w:r>
    </w:p>
    <w:p w14:paraId="5B19A2B8" w14:textId="4878F56B" w:rsidR="00861EE3" w:rsidRPr="00BF4B4E" w:rsidRDefault="00861EE3" w:rsidP="00EA5097">
      <w:pPr>
        <w:widowControl w:val="0"/>
        <w:numPr>
          <w:ilvl w:val="0"/>
          <w:numId w:val="13"/>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 xml:space="preserve">The partner and country </w:t>
      </w:r>
      <w:r w:rsidR="002775C6" w:rsidRPr="00BF4B4E">
        <w:rPr>
          <w:color w:val="1F3864" w:themeColor="accent5" w:themeShade="80"/>
        </w:rPr>
        <w:t>respect</w:t>
      </w:r>
      <w:r w:rsidRPr="00BF4B4E">
        <w:rPr>
          <w:color w:val="1F3864" w:themeColor="accent5" w:themeShade="80"/>
        </w:rPr>
        <w:t xml:space="preserve"> all applicable rules and the basic principles related to competition law</w:t>
      </w:r>
      <w:r w:rsidR="002F2352" w:rsidRPr="00BF4B4E">
        <w:rPr>
          <w:color w:val="1F3864" w:themeColor="accent5" w:themeShade="80"/>
        </w:rPr>
        <w:t>,</w:t>
      </w:r>
      <w:r w:rsidRPr="00BF4B4E">
        <w:rPr>
          <w:color w:val="1F3864" w:themeColor="accent5" w:themeShade="80"/>
        </w:rPr>
        <w:t xml:space="preserve"> as well as the principles of equal treatment and transparency within the meaning of the funding regulations</w:t>
      </w:r>
      <w:r w:rsidR="002F2352" w:rsidRPr="00BF4B4E">
        <w:rPr>
          <w:color w:val="1F3864" w:themeColor="accent5" w:themeShade="80"/>
        </w:rPr>
        <w:t>.</w:t>
      </w:r>
      <w:r w:rsidRPr="00BF4B4E">
        <w:rPr>
          <w:color w:val="1F3864" w:themeColor="accent5" w:themeShade="80"/>
        </w:rPr>
        <w:t xml:space="preserve"> </w:t>
      </w:r>
      <w:r w:rsidR="002F2352" w:rsidRPr="00BF4B4E">
        <w:rPr>
          <w:color w:val="1F3864" w:themeColor="accent5" w:themeShade="80"/>
        </w:rPr>
        <w:t>I</w:t>
      </w:r>
      <w:r w:rsidRPr="00BF4B4E">
        <w:rPr>
          <w:color w:val="1F3864" w:themeColor="accent5" w:themeShade="80"/>
        </w:rPr>
        <w:t xml:space="preserve">t ensures that no undue advantage, </w:t>
      </w:r>
      <w:r w:rsidR="002F2352" w:rsidRPr="00BF4B4E">
        <w:rPr>
          <w:color w:val="1F3864" w:themeColor="accent5" w:themeShade="80"/>
        </w:rPr>
        <w:t>i.e.,</w:t>
      </w:r>
      <w:r w:rsidRPr="00BF4B4E">
        <w:rPr>
          <w:color w:val="1F3864" w:themeColor="accent5" w:themeShade="80"/>
        </w:rPr>
        <w:t xml:space="preserve"> the granting of any advantage that would undermine the basic principles and political objectives of the funding regime, is given to anybody. Outputs and results, especially studies and analyses, produced during project implementation are made available to the </w:t>
      </w:r>
      <w:r w:rsidR="002775C6" w:rsidRPr="00BF4B4E">
        <w:rPr>
          <w:color w:val="1F3864" w:themeColor="accent5" w:themeShade="80"/>
        </w:rPr>
        <w:t>public</w:t>
      </w:r>
      <w:r w:rsidRPr="00BF4B4E">
        <w:rPr>
          <w:color w:val="1F3864" w:themeColor="accent5" w:themeShade="80"/>
        </w:rPr>
        <w:t xml:space="preserve"> free of charge and can be used by all interested persons and organizations in the same way and under the same conditions as by the LP or its PPs. </w:t>
      </w:r>
    </w:p>
    <w:p w14:paraId="0184517A" w14:textId="77777777" w:rsidR="00861EE3" w:rsidRPr="00BF4B4E" w:rsidRDefault="00861EE3" w:rsidP="00EA5097">
      <w:pPr>
        <w:widowControl w:val="0"/>
        <w:numPr>
          <w:ilvl w:val="0"/>
          <w:numId w:val="13"/>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The MA reserves the right to use the outputs and results for information and communication actions in respect of the Programme. In case there are pre-existing intellectual and industrial property rights which are made available to the project, these are fully respected.</w:t>
      </w:r>
    </w:p>
    <w:p w14:paraId="4C36669F" w14:textId="636BE91A" w:rsidR="00861EE3" w:rsidRPr="00BF4B4E" w:rsidRDefault="00861EE3" w:rsidP="00EA5097">
      <w:pPr>
        <w:widowControl w:val="0"/>
        <w:numPr>
          <w:ilvl w:val="0"/>
          <w:numId w:val="13"/>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Any income generated by the intellectual property rights must be managed in compliance with the applicable EU, national and programme rules on State Aid.</w:t>
      </w:r>
    </w:p>
    <w:p w14:paraId="5E0BCF88" w14:textId="77777777" w:rsidR="00861EE3" w:rsidRPr="00BF4B4E" w:rsidRDefault="00861EE3" w:rsidP="00861EE3">
      <w:pPr>
        <w:widowControl w:val="0"/>
        <w:tabs>
          <w:tab w:val="left" w:pos="-1440"/>
          <w:tab w:val="left" w:pos="0"/>
          <w:tab w:val="left" w:pos="284"/>
        </w:tabs>
        <w:suppressAutoHyphens/>
        <w:jc w:val="both"/>
        <w:rPr>
          <w:color w:val="1F3864" w:themeColor="accent5" w:themeShade="80"/>
        </w:rPr>
      </w:pPr>
    </w:p>
    <w:p w14:paraId="2C5F249A" w14:textId="20C11538" w:rsidR="00861EE3" w:rsidRPr="00BF4B4E" w:rsidRDefault="00861EE3" w:rsidP="00861EE3">
      <w:pPr>
        <w:widowControl w:val="0"/>
        <w:tabs>
          <w:tab w:val="left" w:pos="-1440"/>
        </w:tabs>
        <w:suppressAutoHyphens/>
        <w:jc w:val="center"/>
        <w:rPr>
          <w:color w:val="1F3864" w:themeColor="accent5" w:themeShade="80"/>
          <w:sz w:val="26"/>
          <w:szCs w:val="26"/>
          <w:highlight w:val="yellow"/>
        </w:rPr>
      </w:pPr>
      <w:r w:rsidRPr="00BF4B4E">
        <w:rPr>
          <w:rFonts w:cs="Arial"/>
          <w:b/>
          <w:color w:val="1F3864" w:themeColor="accent5" w:themeShade="80"/>
          <w:sz w:val="26"/>
          <w:szCs w:val="26"/>
        </w:rPr>
        <w:t xml:space="preserve">Article </w:t>
      </w:r>
      <w:r w:rsidR="002F2352" w:rsidRPr="00BF4B4E">
        <w:rPr>
          <w:rFonts w:cs="Arial"/>
          <w:b/>
          <w:color w:val="1F3864" w:themeColor="accent5" w:themeShade="80"/>
          <w:sz w:val="26"/>
          <w:szCs w:val="26"/>
        </w:rPr>
        <w:t xml:space="preserve">14 </w:t>
      </w:r>
      <w:r w:rsidRPr="00BF4B4E">
        <w:rPr>
          <w:rFonts w:cs="Arial"/>
          <w:b/>
          <w:color w:val="1F3864" w:themeColor="accent5" w:themeShade="80"/>
          <w:sz w:val="26"/>
          <w:szCs w:val="26"/>
        </w:rPr>
        <w:t xml:space="preserve">– </w:t>
      </w:r>
      <w:proofErr w:type="spellStart"/>
      <w:r w:rsidRPr="00BF4B4E">
        <w:rPr>
          <w:rFonts w:cs="Arial"/>
          <w:b/>
          <w:color w:val="1F3864" w:themeColor="accent5" w:themeShade="80"/>
          <w:sz w:val="26"/>
          <w:szCs w:val="26"/>
        </w:rPr>
        <w:t>Assignement</w:t>
      </w:r>
      <w:proofErr w:type="spellEnd"/>
      <w:r w:rsidRPr="00BF4B4E">
        <w:rPr>
          <w:rFonts w:cs="Arial"/>
          <w:b/>
          <w:color w:val="1F3864" w:themeColor="accent5" w:themeShade="80"/>
          <w:sz w:val="26"/>
          <w:szCs w:val="26"/>
        </w:rPr>
        <w:t>, Legal Succession</w:t>
      </w:r>
    </w:p>
    <w:p w14:paraId="590BF725" w14:textId="5146F2AF" w:rsidR="00861EE3" w:rsidRPr="00BF4B4E" w:rsidRDefault="00861EE3" w:rsidP="00EA5097">
      <w:pPr>
        <w:widowControl w:val="0"/>
        <w:numPr>
          <w:ilvl w:val="0"/>
          <w:numId w:val="14"/>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The MA is entitled at any time to assign its rights under this Agreement. In case of assignment</w:t>
      </w:r>
      <w:r w:rsidR="002F2352" w:rsidRPr="00BF4B4E">
        <w:rPr>
          <w:color w:val="1F3864" w:themeColor="accent5" w:themeShade="80"/>
        </w:rPr>
        <w:t>,</w:t>
      </w:r>
      <w:r w:rsidRPr="00BF4B4E">
        <w:rPr>
          <w:color w:val="1F3864" w:themeColor="accent5" w:themeShade="80"/>
        </w:rPr>
        <w:t xml:space="preserve"> the MA will inform the country without delay.</w:t>
      </w:r>
    </w:p>
    <w:p w14:paraId="3B15200E" w14:textId="02F55AFB" w:rsidR="00861EE3" w:rsidRPr="00BF4B4E" w:rsidRDefault="00861EE3" w:rsidP="00EA5097">
      <w:pPr>
        <w:widowControl w:val="0"/>
        <w:numPr>
          <w:ilvl w:val="0"/>
          <w:numId w:val="14"/>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Where according to national laws the legal personality does not change and where all assets of the partner are taken over so that a deterioration of the financial capacity of the acquiring institution is not to be expected (</w:t>
      </w:r>
      <w:r w:rsidR="002F2352" w:rsidRPr="00BF4B4E">
        <w:rPr>
          <w:color w:val="1F3864" w:themeColor="accent5" w:themeShade="80"/>
        </w:rPr>
        <w:t>i.e.,</w:t>
      </w:r>
      <w:r w:rsidRPr="00BF4B4E">
        <w:rPr>
          <w:color w:val="1F3864" w:themeColor="accent5" w:themeShade="80"/>
        </w:rPr>
        <w:t xml:space="preserve"> in cases of universal succession) prior consent by the MC is not necessary. The partner, however, will submit related information together with all documents that are necessary to analyse the legal case in due time to the MA/JS. If the MA/JS </w:t>
      </w:r>
      <w:proofErr w:type="gramStart"/>
      <w:r w:rsidRPr="00BF4B4E">
        <w:rPr>
          <w:color w:val="1F3864" w:themeColor="accent5" w:themeShade="80"/>
        </w:rPr>
        <w:t>comes to the conclusion</w:t>
      </w:r>
      <w:proofErr w:type="gramEnd"/>
      <w:r w:rsidRPr="00BF4B4E">
        <w:rPr>
          <w:color w:val="1F3864" w:themeColor="accent5" w:themeShade="80"/>
        </w:rPr>
        <w:t xml:space="preserve"> the conditions as stated above are not fulfilled (</w:t>
      </w:r>
      <w:r w:rsidR="002F2352" w:rsidRPr="00BF4B4E">
        <w:rPr>
          <w:color w:val="1F3864" w:themeColor="accent5" w:themeShade="80"/>
        </w:rPr>
        <w:t>e.g.,</w:t>
      </w:r>
      <w:r w:rsidRPr="00BF4B4E">
        <w:rPr>
          <w:color w:val="1F3864" w:themeColor="accent5" w:themeShade="80"/>
        </w:rPr>
        <w:t xml:space="preserve"> in cases of a singular succession), the partner will be informed that a partner change procedure has to be initiated.</w:t>
      </w:r>
    </w:p>
    <w:p w14:paraId="347B9C38" w14:textId="77777777" w:rsidR="00861EE3" w:rsidRPr="00BF4B4E" w:rsidRDefault="00861EE3" w:rsidP="00861EE3">
      <w:pPr>
        <w:widowControl w:val="0"/>
        <w:tabs>
          <w:tab w:val="left" w:pos="-1440"/>
          <w:tab w:val="left" w:pos="0"/>
          <w:tab w:val="left" w:pos="284"/>
        </w:tabs>
        <w:suppressAutoHyphens/>
        <w:rPr>
          <w:color w:val="1F3864" w:themeColor="accent5" w:themeShade="80"/>
          <w:highlight w:val="yellow"/>
        </w:rPr>
      </w:pPr>
    </w:p>
    <w:p w14:paraId="0524CFBD" w14:textId="167C3513" w:rsidR="00861EE3" w:rsidRPr="00BF4B4E" w:rsidRDefault="00861EE3" w:rsidP="00861EE3">
      <w:pPr>
        <w:widowControl w:val="0"/>
        <w:tabs>
          <w:tab w:val="left" w:pos="-1440"/>
        </w:tabs>
        <w:suppressAutoHyphens/>
        <w:jc w:val="center"/>
        <w:rPr>
          <w:color w:val="1F3864" w:themeColor="accent5" w:themeShade="80"/>
          <w:sz w:val="26"/>
          <w:szCs w:val="26"/>
          <w:highlight w:val="yellow"/>
        </w:rPr>
      </w:pPr>
      <w:r w:rsidRPr="00BF4B4E">
        <w:rPr>
          <w:rFonts w:cs="Arial"/>
          <w:b/>
          <w:color w:val="1F3864" w:themeColor="accent5" w:themeShade="80"/>
          <w:sz w:val="26"/>
          <w:szCs w:val="26"/>
        </w:rPr>
        <w:t xml:space="preserve">Article </w:t>
      </w:r>
      <w:r w:rsidR="00690C13" w:rsidRPr="00BF4B4E">
        <w:rPr>
          <w:rFonts w:cs="Arial"/>
          <w:b/>
          <w:color w:val="1F3864" w:themeColor="accent5" w:themeShade="80"/>
          <w:sz w:val="26"/>
          <w:szCs w:val="26"/>
        </w:rPr>
        <w:t xml:space="preserve">15 </w:t>
      </w:r>
      <w:r w:rsidRPr="00BF4B4E">
        <w:rPr>
          <w:rFonts w:cs="Arial"/>
          <w:b/>
          <w:color w:val="1F3864" w:themeColor="accent5" w:themeShade="80"/>
          <w:sz w:val="26"/>
          <w:szCs w:val="26"/>
        </w:rPr>
        <w:t>– Penalties</w:t>
      </w:r>
    </w:p>
    <w:p w14:paraId="70422C65" w14:textId="1B0D645E" w:rsidR="00861EE3" w:rsidRPr="00BF4B4E" w:rsidRDefault="00861EE3" w:rsidP="00EA5097">
      <w:pPr>
        <w:widowControl w:val="0"/>
        <w:numPr>
          <w:ilvl w:val="0"/>
          <w:numId w:val="15"/>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In addition to the right of termination as laid down in Article 3</w:t>
      </w:r>
      <w:r w:rsidR="00690C13" w:rsidRPr="00BF4B4E">
        <w:rPr>
          <w:color w:val="1F3864" w:themeColor="accent5" w:themeShade="80"/>
        </w:rPr>
        <w:t>,</w:t>
      </w:r>
      <w:r w:rsidRPr="00BF4B4E">
        <w:rPr>
          <w:color w:val="1F3864" w:themeColor="accent5" w:themeShade="80"/>
        </w:rPr>
        <w:t xml:space="preserve"> the MA is entitled, in whole or in part, to terminate this Agreement and/or to demand repayment of the subsidy in any of the following circumstances: </w:t>
      </w:r>
    </w:p>
    <w:p w14:paraId="35AE1B5F" w14:textId="360CDCAA" w:rsidR="00861EE3" w:rsidRPr="00BF4B4E" w:rsidRDefault="00861EE3" w:rsidP="00EA5097">
      <w:pPr>
        <w:pStyle w:val="PargrafodaLista"/>
        <w:widowControl w:val="0"/>
        <w:numPr>
          <w:ilvl w:val="0"/>
          <w:numId w:val="19"/>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The partner has obtained the subsidy through false or incomplete statements or forged documents;</w:t>
      </w:r>
    </w:p>
    <w:p w14:paraId="735CEEF0" w14:textId="77777777" w:rsidR="00861EE3" w:rsidRPr="00BF4B4E" w:rsidRDefault="00861EE3" w:rsidP="00EA5097">
      <w:pPr>
        <w:pStyle w:val="PargrafodaLista"/>
        <w:widowControl w:val="0"/>
        <w:numPr>
          <w:ilvl w:val="0"/>
          <w:numId w:val="19"/>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lastRenderedPageBreak/>
        <w:t>The partner received additional funding from the European Union for all or part of the project expenditure reported under the Programme during the period of the implementation of the project;</w:t>
      </w:r>
    </w:p>
    <w:p w14:paraId="4F476ED0" w14:textId="77777777" w:rsidR="00861EE3" w:rsidRPr="00BF4B4E" w:rsidRDefault="00861EE3" w:rsidP="00EA5097">
      <w:pPr>
        <w:pStyle w:val="PargrafodaLista"/>
        <w:widowControl w:val="0"/>
        <w:numPr>
          <w:ilvl w:val="0"/>
          <w:numId w:val="19"/>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The project has not been or cannot be implemented, or it has not been or cannot be implemented in due time;</w:t>
      </w:r>
    </w:p>
    <w:p w14:paraId="027304B2" w14:textId="77777777" w:rsidR="00861EE3" w:rsidRPr="00BF4B4E" w:rsidRDefault="00861EE3" w:rsidP="00EA5097">
      <w:pPr>
        <w:pStyle w:val="PargrafodaLista"/>
        <w:widowControl w:val="0"/>
        <w:numPr>
          <w:ilvl w:val="0"/>
          <w:numId w:val="19"/>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 xml:space="preserve">The partner obstructed or prevented the financial control and auditing as indicated in Article 11 of this contract; </w:t>
      </w:r>
    </w:p>
    <w:p w14:paraId="1187E00E" w14:textId="77777777" w:rsidR="00861EE3" w:rsidRPr="00BF4B4E" w:rsidRDefault="00861EE3" w:rsidP="00EA5097">
      <w:pPr>
        <w:pStyle w:val="PargrafodaLista"/>
        <w:widowControl w:val="0"/>
        <w:numPr>
          <w:ilvl w:val="0"/>
          <w:numId w:val="19"/>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 xml:space="preserve">The amount of funding awarded has been partially or entirely misapplied for purposes other than those agreed upon; </w:t>
      </w:r>
    </w:p>
    <w:p w14:paraId="24AB4631" w14:textId="77777777" w:rsidR="00861EE3" w:rsidRPr="00BF4B4E" w:rsidRDefault="00861EE3" w:rsidP="00EA5097">
      <w:pPr>
        <w:pStyle w:val="PargrafodaLista"/>
        <w:widowControl w:val="0"/>
        <w:numPr>
          <w:ilvl w:val="0"/>
          <w:numId w:val="19"/>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 xml:space="preserve">Insolvency proceedings are instituted against the assets partner or insolvency proceedings are dismissed due to lack of assets for cost recovery or the partner </w:t>
      </w:r>
      <w:proofErr w:type="gramStart"/>
      <w:r w:rsidRPr="00BF4B4E">
        <w:rPr>
          <w:color w:val="1F3864" w:themeColor="accent5" w:themeShade="80"/>
        </w:rPr>
        <w:t>closes down</w:t>
      </w:r>
      <w:proofErr w:type="gramEnd"/>
      <w:r w:rsidRPr="00BF4B4E">
        <w:rPr>
          <w:color w:val="1F3864" w:themeColor="accent5" w:themeShade="80"/>
        </w:rPr>
        <w:t xml:space="preserve"> or liquidates, provided that this appears to prevent or risk the achievement of the project objectives; </w:t>
      </w:r>
    </w:p>
    <w:p w14:paraId="59B08CC2" w14:textId="3874A4B8" w:rsidR="00861EE3" w:rsidRPr="00BF4B4E" w:rsidRDefault="00861EE3" w:rsidP="00EA5097">
      <w:pPr>
        <w:pStyle w:val="PargrafodaLista"/>
        <w:widowControl w:val="0"/>
        <w:numPr>
          <w:ilvl w:val="0"/>
          <w:numId w:val="19"/>
        </w:numPr>
        <w:tabs>
          <w:tab w:val="left" w:pos="-1440"/>
          <w:tab w:val="left" w:pos="0"/>
        </w:tabs>
        <w:suppressAutoHyphens/>
        <w:spacing w:before="120" w:after="0" w:line="276" w:lineRule="auto"/>
        <w:jc w:val="both"/>
        <w:rPr>
          <w:color w:val="1F3864" w:themeColor="accent5" w:themeShade="80"/>
        </w:rPr>
      </w:pPr>
    </w:p>
    <w:p w14:paraId="6514C8D7" w14:textId="44A030A6" w:rsidR="00861EE3" w:rsidRPr="00BF4B4E" w:rsidRDefault="00861EE3" w:rsidP="00EA5097">
      <w:pPr>
        <w:pStyle w:val="PargrafodaLista"/>
        <w:widowControl w:val="0"/>
        <w:numPr>
          <w:ilvl w:val="0"/>
          <w:numId w:val="19"/>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Regulations of EU-law</w:t>
      </w:r>
      <w:r w:rsidR="00690C13" w:rsidRPr="00BF4B4E">
        <w:rPr>
          <w:color w:val="1F3864" w:themeColor="accent5" w:themeShade="80"/>
        </w:rPr>
        <w:t>,</w:t>
      </w:r>
      <w:r w:rsidRPr="00BF4B4E">
        <w:rPr>
          <w:color w:val="1F3864" w:themeColor="accent5" w:themeShade="80"/>
        </w:rPr>
        <w:t xml:space="preserve"> including the horizontal policies or national regulations</w:t>
      </w:r>
      <w:r w:rsidR="00690C13" w:rsidRPr="00BF4B4E">
        <w:rPr>
          <w:color w:val="1F3864" w:themeColor="accent5" w:themeShade="80"/>
        </w:rPr>
        <w:t>,</w:t>
      </w:r>
      <w:r w:rsidRPr="00BF4B4E">
        <w:rPr>
          <w:color w:val="1F3864" w:themeColor="accent5" w:themeShade="80"/>
        </w:rPr>
        <w:t xml:space="preserve"> have been violated;</w:t>
      </w:r>
    </w:p>
    <w:p w14:paraId="6969BC31" w14:textId="4921E52F" w:rsidR="00861EE3" w:rsidRPr="00BF4B4E" w:rsidRDefault="00861EE3" w:rsidP="00EA5097">
      <w:pPr>
        <w:pStyle w:val="PargrafodaLista"/>
        <w:widowControl w:val="0"/>
        <w:numPr>
          <w:ilvl w:val="0"/>
          <w:numId w:val="19"/>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 xml:space="preserve">The ownership of project outputs having the character of investments in infrastructure or productive investments did not remain with the concerned partner for the timeframe and under the conditions set in Article </w:t>
      </w:r>
      <w:r w:rsidR="00690C13" w:rsidRPr="00BF4B4E">
        <w:rPr>
          <w:color w:val="1F3864" w:themeColor="accent5" w:themeShade="80"/>
        </w:rPr>
        <w:t xml:space="preserve">65 </w:t>
      </w:r>
      <w:r w:rsidRPr="00BF4B4E">
        <w:rPr>
          <w:color w:val="1F3864" w:themeColor="accent5" w:themeShade="80"/>
        </w:rPr>
        <w:t xml:space="preserve">of Regulation (EU) No </w:t>
      </w:r>
      <w:r w:rsidR="00690C13" w:rsidRPr="00BF4B4E">
        <w:rPr>
          <w:color w:val="1F3864" w:themeColor="accent5" w:themeShade="80"/>
        </w:rPr>
        <w:t>2021</w:t>
      </w:r>
      <w:r w:rsidRPr="00BF4B4E">
        <w:rPr>
          <w:color w:val="1F3864" w:themeColor="accent5" w:themeShade="80"/>
        </w:rPr>
        <w:t>/</w:t>
      </w:r>
      <w:r w:rsidR="00690C13" w:rsidRPr="00BF4B4E">
        <w:rPr>
          <w:color w:val="1F3864" w:themeColor="accent5" w:themeShade="80"/>
        </w:rPr>
        <w:t>1060</w:t>
      </w:r>
      <w:r w:rsidRPr="00BF4B4E">
        <w:rPr>
          <w:color w:val="1F3864" w:themeColor="accent5" w:themeShade="80"/>
        </w:rPr>
        <w:t>;</w:t>
      </w:r>
    </w:p>
    <w:p w14:paraId="186586B5" w14:textId="4A2BD4C4" w:rsidR="00861EE3" w:rsidRPr="00BF4B4E" w:rsidRDefault="00861EE3" w:rsidP="00EA5097">
      <w:pPr>
        <w:pStyle w:val="PargrafodaLista"/>
        <w:widowControl w:val="0"/>
        <w:numPr>
          <w:ilvl w:val="0"/>
          <w:numId w:val="19"/>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 xml:space="preserve">The partner is in the situation of undertaking in difficulty, within the meaning of point 24 (in conjunction with point 20) of the “Guidelines on State aid for rescuing and restructuring non-financial undertakings in difficulty” (Communication from the Commission No. 2014/C 249/01 of 31.07.2014) as well as in compliance with Article </w:t>
      </w:r>
      <w:r w:rsidR="00690C13" w:rsidRPr="00BF4B4E">
        <w:rPr>
          <w:color w:val="1F3864" w:themeColor="accent5" w:themeShade="80"/>
        </w:rPr>
        <w:t>7</w:t>
      </w:r>
      <w:r w:rsidRPr="00BF4B4E">
        <w:rPr>
          <w:color w:val="1F3864" w:themeColor="accent5" w:themeShade="80"/>
        </w:rPr>
        <w:t>(</w:t>
      </w:r>
      <w:r w:rsidR="00690C13" w:rsidRPr="00BF4B4E">
        <w:rPr>
          <w:color w:val="1F3864" w:themeColor="accent5" w:themeShade="80"/>
        </w:rPr>
        <w:t>1</w:t>
      </w:r>
      <w:r w:rsidRPr="00BF4B4E">
        <w:rPr>
          <w:color w:val="1F3864" w:themeColor="accent5" w:themeShade="80"/>
        </w:rPr>
        <w:t xml:space="preserve">) d) of Regulation No </w:t>
      </w:r>
      <w:r w:rsidR="00690C13" w:rsidRPr="00BF4B4E">
        <w:rPr>
          <w:color w:val="1F3864" w:themeColor="accent5" w:themeShade="80"/>
        </w:rPr>
        <w:t>2021</w:t>
      </w:r>
      <w:r w:rsidRPr="00BF4B4E">
        <w:rPr>
          <w:color w:val="1F3864" w:themeColor="accent5" w:themeShade="80"/>
        </w:rPr>
        <w:t>/</w:t>
      </w:r>
      <w:r w:rsidR="00690C13" w:rsidRPr="00BF4B4E">
        <w:rPr>
          <w:color w:val="1F3864" w:themeColor="accent5" w:themeShade="80"/>
        </w:rPr>
        <w:t>2058</w:t>
      </w:r>
      <w:r w:rsidRPr="00BF4B4E">
        <w:rPr>
          <w:color w:val="1F3864" w:themeColor="accent5" w:themeShade="80"/>
        </w:rPr>
        <w:t xml:space="preserve">. </w:t>
      </w:r>
    </w:p>
    <w:p w14:paraId="09ED9E9B" w14:textId="77777777" w:rsidR="00861EE3" w:rsidRPr="00BF4B4E" w:rsidRDefault="00861EE3" w:rsidP="00EA5097">
      <w:pPr>
        <w:widowControl w:val="0"/>
        <w:numPr>
          <w:ilvl w:val="0"/>
          <w:numId w:val="15"/>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 xml:space="preserve">As laid out in Article 3.3, the MA is entitled to terminate the Subsidy Contract of the project if the European Commission fails to make the funds available due to reasons that are outside of the sphere of influence of the programme which, consequently, terminates this Agreement as well. </w:t>
      </w:r>
    </w:p>
    <w:p w14:paraId="7BEA5368" w14:textId="77777777" w:rsidR="00861EE3" w:rsidRPr="00BF4B4E" w:rsidRDefault="00861EE3" w:rsidP="00EA5097">
      <w:pPr>
        <w:widowControl w:val="0"/>
        <w:numPr>
          <w:ilvl w:val="0"/>
          <w:numId w:val="15"/>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Any further legal claims shall remain unaffected by the above provisions.</w:t>
      </w:r>
    </w:p>
    <w:p w14:paraId="678EB856" w14:textId="77777777" w:rsidR="00861EE3" w:rsidRPr="00BF4B4E" w:rsidRDefault="00861EE3" w:rsidP="00861EE3">
      <w:pPr>
        <w:widowControl w:val="0"/>
        <w:tabs>
          <w:tab w:val="left" w:pos="-1440"/>
          <w:tab w:val="left" w:pos="0"/>
          <w:tab w:val="left" w:pos="284"/>
        </w:tabs>
        <w:suppressAutoHyphens/>
        <w:rPr>
          <w:color w:val="1F3864" w:themeColor="accent5" w:themeShade="80"/>
          <w:highlight w:val="yellow"/>
        </w:rPr>
      </w:pPr>
    </w:p>
    <w:p w14:paraId="6942A94F" w14:textId="3434AD4E" w:rsidR="00861EE3" w:rsidRPr="00BF4B4E" w:rsidRDefault="00861EE3" w:rsidP="00861EE3">
      <w:pPr>
        <w:jc w:val="center"/>
        <w:rPr>
          <w:color w:val="1F3864" w:themeColor="accent5" w:themeShade="80"/>
          <w:sz w:val="26"/>
          <w:szCs w:val="26"/>
          <w:highlight w:val="yellow"/>
        </w:rPr>
      </w:pPr>
      <w:r w:rsidRPr="00BF4B4E">
        <w:rPr>
          <w:rFonts w:cs="Arial"/>
          <w:b/>
          <w:color w:val="1F3864" w:themeColor="accent5" w:themeShade="80"/>
          <w:sz w:val="26"/>
          <w:szCs w:val="26"/>
        </w:rPr>
        <w:t xml:space="preserve">Article </w:t>
      </w:r>
      <w:r w:rsidR="00B651BB" w:rsidRPr="00BF4B4E">
        <w:rPr>
          <w:rFonts w:cs="Arial"/>
          <w:b/>
          <w:color w:val="1F3864" w:themeColor="accent5" w:themeShade="80"/>
          <w:sz w:val="26"/>
          <w:szCs w:val="26"/>
        </w:rPr>
        <w:t xml:space="preserve">16 </w:t>
      </w:r>
      <w:r w:rsidRPr="00BF4B4E">
        <w:rPr>
          <w:rFonts w:cs="Arial"/>
          <w:b/>
          <w:color w:val="1F3864" w:themeColor="accent5" w:themeShade="80"/>
          <w:sz w:val="26"/>
          <w:szCs w:val="26"/>
        </w:rPr>
        <w:t>– Force majeure</w:t>
      </w:r>
    </w:p>
    <w:p w14:paraId="3D663562" w14:textId="18E5EE43" w:rsidR="00861EE3" w:rsidRPr="00BF4B4E" w:rsidRDefault="00861EE3" w:rsidP="00EA5097">
      <w:pPr>
        <w:widowControl w:val="0"/>
        <w:numPr>
          <w:ilvl w:val="0"/>
          <w:numId w:val="16"/>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 xml:space="preserve">Neither party shall be liable for any failure of its Agreement obligations if the fulfilment of such obligations </w:t>
      </w:r>
      <w:r w:rsidR="00B651BB" w:rsidRPr="00BF4B4E">
        <w:rPr>
          <w:color w:val="1F3864" w:themeColor="accent5" w:themeShade="80"/>
        </w:rPr>
        <w:t xml:space="preserve">has </w:t>
      </w:r>
      <w:r w:rsidRPr="00BF4B4E">
        <w:rPr>
          <w:color w:val="1F3864" w:themeColor="accent5" w:themeShade="80"/>
        </w:rPr>
        <w:t xml:space="preserve">been impeded due to any case of force majeure occurring after the date of its signature by the </w:t>
      </w:r>
      <w:r w:rsidR="00B651BB" w:rsidRPr="00BF4B4E">
        <w:rPr>
          <w:color w:val="1F3864" w:themeColor="accent5" w:themeShade="80"/>
        </w:rPr>
        <w:t>MA</w:t>
      </w:r>
      <w:r w:rsidRPr="00BF4B4E">
        <w:rPr>
          <w:color w:val="1F3864" w:themeColor="accent5" w:themeShade="80"/>
        </w:rPr>
        <w:t xml:space="preserve"> or the date of the beginning of operations, whatever happens first.</w:t>
      </w:r>
    </w:p>
    <w:p w14:paraId="151AC9D8" w14:textId="47F2346A" w:rsidR="00861EE3" w:rsidRPr="00BF4B4E" w:rsidRDefault="00861EE3" w:rsidP="00EA5097">
      <w:pPr>
        <w:widowControl w:val="0"/>
        <w:numPr>
          <w:ilvl w:val="0"/>
          <w:numId w:val="16"/>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 xml:space="preserve">For the purposes of this Agreement, the following are examples of “cases of force majeure” strikes, </w:t>
      </w:r>
      <w:r w:rsidR="00B651BB" w:rsidRPr="00BF4B4E">
        <w:rPr>
          <w:color w:val="1F3864" w:themeColor="accent5" w:themeShade="80"/>
        </w:rPr>
        <w:t>lockouts,</w:t>
      </w:r>
      <w:r w:rsidRPr="00BF4B4E">
        <w:rPr>
          <w:color w:val="1F3864" w:themeColor="accent5" w:themeShade="80"/>
        </w:rPr>
        <w:t xml:space="preserve"> or other labour disputes, acts of terrorism, situations of war, blockades, insurrections, riots, epidemics, natural cataclysms, </w:t>
      </w:r>
      <w:proofErr w:type="gramStart"/>
      <w:r w:rsidRPr="00BF4B4E">
        <w:rPr>
          <w:color w:val="1F3864" w:themeColor="accent5" w:themeShade="80"/>
        </w:rPr>
        <w:t>explosions</w:t>
      </w:r>
      <w:proofErr w:type="gramEnd"/>
      <w:r w:rsidRPr="00BF4B4E">
        <w:rPr>
          <w:color w:val="1F3864" w:themeColor="accent5" w:themeShade="80"/>
        </w:rPr>
        <w:t xml:space="preserve"> and any other unforeseeable event that the parties cannot avoid or overcome.</w:t>
      </w:r>
    </w:p>
    <w:p w14:paraId="3FBE23C2" w14:textId="77777777" w:rsidR="00861EE3" w:rsidRDefault="00861EE3" w:rsidP="00EA5097">
      <w:pPr>
        <w:widowControl w:val="0"/>
        <w:numPr>
          <w:ilvl w:val="0"/>
          <w:numId w:val="16"/>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 xml:space="preserve">The “Force Majeure” exonerates the parties to execute partially or totally their obligations stipulated in the present Agreement during the period in which they occur and when properly notified.  </w:t>
      </w:r>
    </w:p>
    <w:p w14:paraId="21A21865" w14:textId="77777777" w:rsidR="00985BB6" w:rsidRPr="00BF4B4E" w:rsidRDefault="00985BB6" w:rsidP="00985BB6">
      <w:pPr>
        <w:widowControl w:val="0"/>
        <w:tabs>
          <w:tab w:val="left" w:pos="-1440"/>
          <w:tab w:val="left" w:pos="0"/>
        </w:tabs>
        <w:suppressAutoHyphens/>
        <w:spacing w:before="120" w:after="0" w:line="276" w:lineRule="auto"/>
        <w:ind w:left="360"/>
        <w:jc w:val="both"/>
        <w:rPr>
          <w:color w:val="1F3864" w:themeColor="accent5" w:themeShade="80"/>
        </w:rPr>
      </w:pPr>
    </w:p>
    <w:p w14:paraId="7C6E9D78" w14:textId="77777777" w:rsidR="00861EE3" w:rsidRPr="00BF4B4E" w:rsidRDefault="00861EE3" w:rsidP="00861EE3">
      <w:pPr>
        <w:pStyle w:val="PargrafodaLista"/>
        <w:widowControl w:val="0"/>
        <w:tabs>
          <w:tab w:val="left" w:pos="-1440"/>
          <w:tab w:val="left" w:pos="0"/>
          <w:tab w:val="left" w:pos="284"/>
        </w:tabs>
        <w:suppressAutoHyphens/>
        <w:ind w:left="284"/>
        <w:rPr>
          <w:color w:val="1F3864" w:themeColor="accent5" w:themeShade="80"/>
        </w:rPr>
      </w:pPr>
    </w:p>
    <w:p w14:paraId="3A9BF630" w14:textId="1209084F" w:rsidR="00861EE3" w:rsidRPr="00BF4B4E" w:rsidRDefault="00861EE3" w:rsidP="00861EE3">
      <w:pPr>
        <w:widowControl w:val="0"/>
        <w:tabs>
          <w:tab w:val="left" w:pos="-1440"/>
        </w:tabs>
        <w:suppressAutoHyphens/>
        <w:jc w:val="center"/>
        <w:rPr>
          <w:color w:val="1F3864" w:themeColor="accent5" w:themeShade="80"/>
          <w:sz w:val="26"/>
          <w:szCs w:val="26"/>
          <w:highlight w:val="yellow"/>
        </w:rPr>
      </w:pPr>
      <w:r w:rsidRPr="00BF4B4E">
        <w:rPr>
          <w:rFonts w:cs="Arial"/>
          <w:b/>
          <w:color w:val="1F3864" w:themeColor="accent5" w:themeShade="80"/>
          <w:sz w:val="26"/>
          <w:szCs w:val="26"/>
        </w:rPr>
        <w:lastRenderedPageBreak/>
        <w:t xml:space="preserve">Article </w:t>
      </w:r>
      <w:r w:rsidR="00B651BB" w:rsidRPr="00BF4B4E">
        <w:rPr>
          <w:rFonts w:cs="Arial"/>
          <w:b/>
          <w:color w:val="1F3864" w:themeColor="accent5" w:themeShade="80"/>
          <w:sz w:val="26"/>
          <w:szCs w:val="26"/>
        </w:rPr>
        <w:t xml:space="preserve">17 </w:t>
      </w:r>
      <w:r w:rsidRPr="00BF4B4E">
        <w:rPr>
          <w:rFonts w:cs="Arial"/>
          <w:b/>
          <w:color w:val="1F3864" w:themeColor="accent5" w:themeShade="80"/>
          <w:sz w:val="26"/>
          <w:szCs w:val="26"/>
        </w:rPr>
        <w:t>– Applicable Law and Dispute Settlement</w:t>
      </w:r>
    </w:p>
    <w:p w14:paraId="0C405101" w14:textId="62E380BE" w:rsidR="00861EE3" w:rsidRPr="00BF4B4E" w:rsidRDefault="00861EE3" w:rsidP="00EA5097">
      <w:pPr>
        <w:widowControl w:val="0"/>
        <w:numPr>
          <w:ilvl w:val="0"/>
          <w:numId w:val="17"/>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Without prejudice to the applicable European law, this Agreement shall be governed by Portuguese law. Thus, the laws of Portugal shall apply to all legal relations arising in connection with this agreement.</w:t>
      </w:r>
    </w:p>
    <w:p w14:paraId="1A70445E" w14:textId="4CCEE90A" w:rsidR="00861EE3" w:rsidRPr="00BF4B4E" w:rsidRDefault="00861EE3" w:rsidP="00EA5097">
      <w:pPr>
        <w:widowControl w:val="0"/>
        <w:numPr>
          <w:ilvl w:val="0"/>
          <w:numId w:val="17"/>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 xml:space="preserve">In case of disputes between the MA and the country, </w:t>
      </w:r>
      <w:r w:rsidR="00CE62A1" w:rsidRPr="00BF4B4E">
        <w:rPr>
          <w:color w:val="1F3864" w:themeColor="accent5" w:themeShade="80"/>
        </w:rPr>
        <w:t xml:space="preserve">the </w:t>
      </w:r>
      <w:r w:rsidRPr="00BF4B4E">
        <w:rPr>
          <w:color w:val="1F3864" w:themeColor="accent5" w:themeShade="80"/>
        </w:rPr>
        <w:t>presumption of good faith from the country will be privileged and, prior to litigation, mediation procedures shall be set in place.</w:t>
      </w:r>
    </w:p>
    <w:p w14:paraId="5FFB9C0B" w14:textId="0FB914E6" w:rsidR="00861EE3" w:rsidRPr="00BF4B4E" w:rsidRDefault="00861EE3" w:rsidP="00EA5097">
      <w:pPr>
        <w:widowControl w:val="0"/>
        <w:numPr>
          <w:ilvl w:val="0"/>
          <w:numId w:val="17"/>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 xml:space="preserve">In case of litigation, </w:t>
      </w:r>
      <w:r w:rsidR="00CE62A1" w:rsidRPr="00BF4B4E">
        <w:rPr>
          <w:color w:val="1F3864" w:themeColor="accent5" w:themeShade="80"/>
        </w:rPr>
        <w:t xml:space="preserve">the </w:t>
      </w:r>
      <w:r w:rsidRPr="00BF4B4E">
        <w:rPr>
          <w:color w:val="1F3864" w:themeColor="accent5" w:themeShade="80"/>
        </w:rPr>
        <w:t>venue is the Administrative and Fiscal Court of Oporto</w:t>
      </w:r>
      <w:r w:rsidR="00CE62A1" w:rsidRPr="00BF4B4E">
        <w:rPr>
          <w:color w:val="1F3864" w:themeColor="accent5" w:themeShade="80"/>
        </w:rPr>
        <w:t>,</w:t>
      </w:r>
      <w:r w:rsidRPr="00BF4B4E">
        <w:rPr>
          <w:color w:val="1F3864" w:themeColor="accent5" w:themeShade="80"/>
        </w:rPr>
        <w:t xml:space="preserve"> which has the jurisdiction and is competent to resolve all issues arising from the implementation of this Agreement.</w:t>
      </w:r>
    </w:p>
    <w:p w14:paraId="529E404A" w14:textId="77777777" w:rsidR="00861EE3" w:rsidRPr="00BF4B4E" w:rsidRDefault="00861EE3" w:rsidP="00861EE3">
      <w:pPr>
        <w:pStyle w:val="PargrafodaLista"/>
        <w:widowControl w:val="0"/>
        <w:tabs>
          <w:tab w:val="left" w:pos="-1440"/>
          <w:tab w:val="left" w:pos="0"/>
          <w:tab w:val="left" w:pos="284"/>
        </w:tabs>
        <w:suppressAutoHyphens/>
        <w:ind w:left="284"/>
        <w:rPr>
          <w:color w:val="1F3864" w:themeColor="accent5" w:themeShade="80"/>
        </w:rPr>
      </w:pPr>
    </w:p>
    <w:p w14:paraId="1C153F1C" w14:textId="7B32B507" w:rsidR="00861EE3" w:rsidRPr="00BF4B4E" w:rsidRDefault="00861EE3" w:rsidP="00861EE3">
      <w:pPr>
        <w:widowControl w:val="0"/>
        <w:tabs>
          <w:tab w:val="left" w:pos="-1440"/>
        </w:tabs>
        <w:suppressAutoHyphens/>
        <w:jc w:val="center"/>
        <w:rPr>
          <w:color w:val="1F3864" w:themeColor="accent5" w:themeShade="80"/>
          <w:sz w:val="26"/>
          <w:szCs w:val="26"/>
          <w:highlight w:val="yellow"/>
        </w:rPr>
      </w:pPr>
      <w:r w:rsidRPr="00BF4B4E">
        <w:rPr>
          <w:rFonts w:cs="Arial"/>
          <w:b/>
          <w:color w:val="1F3864" w:themeColor="accent5" w:themeShade="80"/>
          <w:sz w:val="26"/>
          <w:szCs w:val="26"/>
        </w:rPr>
        <w:t xml:space="preserve">Article </w:t>
      </w:r>
      <w:r w:rsidR="00CE62A1" w:rsidRPr="00BF4B4E">
        <w:rPr>
          <w:rFonts w:cs="Arial"/>
          <w:b/>
          <w:color w:val="1F3864" w:themeColor="accent5" w:themeShade="80"/>
          <w:sz w:val="26"/>
          <w:szCs w:val="26"/>
        </w:rPr>
        <w:t xml:space="preserve">18 </w:t>
      </w:r>
      <w:r w:rsidRPr="00BF4B4E">
        <w:rPr>
          <w:rFonts w:cs="Arial"/>
          <w:b/>
          <w:color w:val="1F3864" w:themeColor="accent5" w:themeShade="80"/>
          <w:sz w:val="26"/>
          <w:szCs w:val="26"/>
        </w:rPr>
        <w:t>– Concluding Provisions</w:t>
      </w:r>
    </w:p>
    <w:p w14:paraId="7622E20C" w14:textId="77777777" w:rsidR="00861EE3" w:rsidRPr="00BF4B4E" w:rsidRDefault="00861EE3" w:rsidP="00EA5097">
      <w:pPr>
        <w:widowControl w:val="0"/>
        <w:numPr>
          <w:ilvl w:val="0"/>
          <w:numId w:val="18"/>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In all matters that are not explicitly covered in this Agreement, the European Community and national legal provisions will be applied.</w:t>
      </w:r>
    </w:p>
    <w:p w14:paraId="3346CE23" w14:textId="77777777" w:rsidR="00861EE3" w:rsidRPr="00BF4B4E" w:rsidRDefault="00861EE3" w:rsidP="00EA5097">
      <w:pPr>
        <w:widowControl w:val="0"/>
        <w:numPr>
          <w:ilvl w:val="0"/>
          <w:numId w:val="18"/>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 xml:space="preserve"> Any communication within the context of this Agreement shall be made in writing, mentioning the project number and title, through the Programme website.</w:t>
      </w:r>
    </w:p>
    <w:p w14:paraId="3E5EDE38" w14:textId="674131E3" w:rsidR="00861EE3" w:rsidRPr="00BF4B4E" w:rsidRDefault="00861EE3" w:rsidP="00EA5097">
      <w:pPr>
        <w:widowControl w:val="0"/>
        <w:numPr>
          <w:ilvl w:val="0"/>
          <w:numId w:val="18"/>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 xml:space="preserve">When, for some unexpected reason, it is not possible to comply with the stipulation in the previous paragraph, the communication will be made through other legally admitted means without prejudice of subsequent recording in the </w:t>
      </w:r>
      <w:r w:rsidR="00A2117C" w:rsidRPr="00BF4B4E">
        <w:rPr>
          <w:color w:val="1F3864" w:themeColor="accent5" w:themeShade="80"/>
        </w:rPr>
        <w:t xml:space="preserve">Programme </w:t>
      </w:r>
      <w:r w:rsidRPr="00BF4B4E">
        <w:rPr>
          <w:color w:val="1F3864" w:themeColor="accent5" w:themeShade="80"/>
        </w:rPr>
        <w:t xml:space="preserve">Website. </w:t>
      </w:r>
    </w:p>
    <w:p w14:paraId="587FEB73" w14:textId="6357BDEF" w:rsidR="00861EE3" w:rsidRPr="00BF4B4E" w:rsidRDefault="00861EE3" w:rsidP="00EA5097">
      <w:pPr>
        <w:widowControl w:val="0"/>
        <w:numPr>
          <w:ilvl w:val="0"/>
          <w:numId w:val="18"/>
        </w:numPr>
        <w:tabs>
          <w:tab w:val="left" w:pos="-1440"/>
          <w:tab w:val="left" w:pos="0"/>
        </w:tabs>
        <w:suppressAutoHyphens/>
        <w:spacing w:before="120" w:after="0" w:line="276" w:lineRule="auto"/>
        <w:jc w:val="both"/>
        <w:rPr>
          <w:color w:val="1F3864" w:themeColor="accent5" w:themeShade="80"/>
        </w:rPr>
      </w:pPr>
      <w:r w:rsidRPr="00BF4B4E">
        <w:rPr>
          <w:color w:val="1F3864" w:themeColor="accent5" w:themeShade="80"/>
        </w:rPr>
        <w:t xml:space="preserve">Done in </w:t>
      </w:r>
      <w:r w:rsidRPr="00BF4B4E">
        <w:rPr>
          <w:color w:val="1F3864" w:themeColor="accent5" w:themeShade="80"/>
          <w:highlight w:val="green"/>
        </w:rPr>
        <w:t>two originals</w:t>
      </w:r>
      <w:r w:rsidRPr="00BF4B4E">
        <w:rPr>
          <w:color w:val="1F3864" w:themeColor="accent5" w:themeShade="80"/>
        </w:rPr>
        <w:t xml:space="preserve">, in the English language, one for the Managing Authority and one for the </w:t>
      </w:r>
      <w:r w:rsidR="00CE62A1" w:rsidRPr="00BF4B4E">
        <w:rPr>
          <w:color w:val="1F3864" w:themeColor="accent5" w:themeShade="80"/>
          <w:highlight w:val="yellow"/>
        </w:rPr>
        <w:t>……..</w:t>
      </w:r>
      <w:r w:rsidRPr="00BF4B4E">
        <w:rPr>
          <w:color w:val="1F3864" w:themeColor="accent5" w:themeShade="80"/>
          <w:highlight w:val="yellow"/>
        </w:rPr>
        <w:t>.</w:t>
      </w:r>
      <w:r w:rsidRPr="00BF4B4E">
        <w:rPr>
          <w:color w:val="1F3864" w:themeColor="accent5" w:themeShade="80"/>
        </w:rPr>
        <w:t xml:space="preserve"> </w:t>
      </w:r>
    </w:p>
    <w:p w14:paraId="3E788434" w14:textId="77777777" w:rsidR="00861EE3" w:rsidRPr="00BF4B4E" w:rsidRDefault="00861EE3" w:rsidP="00861EE3">
      <w:pPr>
        <w:autoSpaceDE w:val="0"/>
        <w:autoSpaceDN w:val="0"/>
        <w:adjustRightInd w:val="0"/>
        <w:spacing w:line="288" w:lineRule="auto"/>
        <w:rPr>
          <w:color w:val="1F3864" w:themeColor="accent5" w:themeShade="80"/>
        </w:rPr>
      </w:pPr>
    </w:p>
    <w:p w14:paraId="75703761" w14:textId="77777777" w:rsidR="00BF4B4E" w:rsidRPr="00BF4B4E" w:rsidRDefault="00BF4B4E" w:rsidP="00861EE3">
      <w:pPr>
        <w:autoSpaceDE w:val="0"/>
        <w:autoSpaceDN w:val="0"/>
        <w:adjustRightInd w:val="0"/>
        <w:spacing w:line="288" w:lineRule="auto"/>
        <w:rPr>
          <w:color w:val="1F3864" w:themeColor="accent5" w:themeShade="80"/>
        </w:rPr>
      </w:pPr>
    </w:p>
    <w:tbl>
      <w:tblPr>
        <w:tblW w:w="9687" w:type="dxa"/>
        <w:jc w:val="center"/>
        <w:tblLayout w:type="fixed"/>
        <w:tblCellMar>
          <w:left w:w="70" w:type="dxa"/>
          <w:right w:w="70" w:type="dxa"/>
        </w:tblCellMar>
        <w:tblLook w:val="0000" w:firstRow="0" w:lastRow="0" w:firstColumn="0" w:lastColumn="0" w:noHBand="0" w:noVBand="0"/>
      </w:tblPr>
      <w:tblGrid>
        <w:gridCol w:w="5103"/>
        <w:gridCol w:w="4584"/>
      </w:tblGrid>
      <w:tr w:rsidR="00861EE3" w:rsidRPr="00BF4B4E" w14:paraId="0E39EAB9" w14:textId="77777777" w:rsidTr="000A6875">
        <w:trPr>
          <w:jc w:val="center"/>
        </w:trPr>
        <w:tc>
          <w:tcPr>
            <w:tcW w:w="5103" w:type="dxa"/>
          </w:tcPr>
          <w:p w14:paraId="5DDE1CDC" w14:textId="77777777" w:rsidR="00861EE3" w:rsidRPr="00BF4B4E" w:rsidRDefault="00861EE3" w:rsidP="000A6875">
            <w:pPr>
              <w:spacing w:line="288" w:lineRule="auto"/>
              <w:ind w:left="20"/>
              <w:rPr>
                <w:rFonts w:ascii="Calibri" w:hAnsi="Calibri"/>
                <w:snapToGrid w:val="0"/>
                <w:color w:val="1F3864" w:themeColor="accent5" w:themeShade="80"/>
              </w:rPr>
            </w:pPr>
            <w:r w:rsidRPr="00BF4B4E">
              <w:rPr>
                <w:rFonts w:ascii="Calibri" w:hAnsi="Calibri"/>
                <w:snapToGrid w:val="0"/>
                <w:color w:val="1F3864" w:themeColor="accent5" w:themeShade="80"/>
              </w:rPr>
              <w:t xml:space="preserve">Done </w:t>
            </w:r>
            <w:proofErr w:type="gramStart"/>
            <w:r w:rsidRPr="00BF4B4E">
              <w:rPr>
                <w:rFonts w:ascii="Calibri" w:hAnsi="Calibri"/>
                <w:snapToGrid w:val="0"/>
                <w:color w:val="1F3864" w:themeColor="accent5" w:themeShade="80"/>
              </w:rPr>
              <w:t>in  _</w:t>
            </w:r>
            <w:proofErr w:type="gramEnd"/>
            <w:r w:rsidRPr="00BF4B4E">
              <w:rPr>
                <w:rFonts w:ascii="Calibri" w:hAnsi="Calibri"/>
                <w:snapToGrid w:val="0"/>
                <w:color w:val="1F3864" w:themeColor="accent5" w:themeShade="80"/>
              </w:rPr>
              <w:t xml:space="preserve">__________  , on the  _____________ </w:t>
            </w:r>
          </w:p>
          <w:p w14:paraId="2D061272" w14:textId="77777777" w:rsidR="00861EE3" w:rsidRPr="00BF4B4E" w:rsidRDefault="00861EE3" w:rsidP="000A6875">
            <w:pPr>
              <w:spacing w:line="288" w:lineRule="auto"/>
              <w:ind w:left="20"/>
              <w:rPr>
                <w:rFonts w:ascii="Calibri" w:hAnsi="Calibri"/>
                <w:snapToGrid w:val="0"/>
                <w:color w:val="1F3864" w:themeColor="accent5" w:themeShade="80"/>
              </w:rPr>
            </w:pPr>
            <w:r w:rsidRPr="00BF4B4E">
              <w:rPr>
                <w:rFonts w:ascii="Calibri" w:hAnsi="Calibri"/>
                <w:snapToGrid w:val="0"/>
                <w:color w:val="1F3864" w:themeColor="accent5" w:themeShade="80"/>
              </w:rPr>
              <w:t xml:space="preserve">      (</w:t>
            </w:r>
            <w:proofErr w:type="gramStart"/>
            <w:r w:rsidRPr="00BF4B4E">
              <w:rPr>
                <w:rFonts w:ascii="Calibri" w:hAnsi="Calibri"/>
                <w:snapToGrid w:val="0"/>
                <w:color w:val="1F3864" w:themeColor="accent5" w:themeShade="80"/>
              </w:rPr>
              <w:t xml:space="preserve">place)   </w:t>
            </w:r>
            <w:proofErr w:type="gramEnd"/>
            <w:r w:rsidRPr="00BF4B4E">
              <w:rPr>
                <w:rFonts w:ascii="Calibri" w:hAnsi="Calibri"/>
                <w:snapToGrid w:val="0"/>
                <w:color w:val="1F3864" w:themeColor="accent5" w:themeShade="80"/>
              </w:rPr>
              <w:t xml:space="preserve">                               (date)</w:t>
            </w:r>
          </w:p>
          <w:p w14:paraId="5CFE5B48" w14:textId="77777777" w:rsidR="00861EE3" w:rsidRPr="00BF4B4E" w:rsidRDefault="00861EE3" w:rsidP="000A6875">
            <w:pPr>
              <w:spacing w:line="288" w:lineRule="auto"/>
              <w:ind w:left="20"/>
              <w:rPr>
                <w:rFonts w:ascii="Calibri" w:hAnsi="Calibri"/>
                <w:snapToGrid w:val="0"/>
                <w:color w:val="1F3864" w:themeColor="accent5" w:themeShade="80"/>
              </w:rPr>
            </w:pPr>
          </w:p>
          <w:p w14:paraId="2500B804" w14:textId="77777777" w:rsidR="00861EE3" w:rsidRPr="00BF4B4E" w:rsidRDefault="00861EE3" w:rsidP="000A6875">
            <w:pPr>
              <w:spacing w:line="288" w:lineRule="auto"/>
              <w:ind w:left="20"/>
              <w:rPr>
                <w:rFonts w:ascii="Calibri" w:hAnsi="Calibri"/>
                <w:snapToGrid w:val="0"/>
                <w:color w:val="1F3864" w:themeColor="accent5" w:themeShade="80"/>
              </w:rPr>
            </w:pPr>
            <w:proofErr w:type="gramStart"/>
            <w:r w:rsidRPr="00BF4B4E">
              <w:rPr>
                <w:rFonts w:ascii="Calibri" w:hAnsi="Calibri"/>
                <w:snapToGrid w:val="0"/>
                <w:color w:val="1F3864" w:themeColor="accent5" w:themeShade="80"/>
              </w:rPr>
              <w:t>Name:_</w:t>
            </w:r>
            <w:proofErr w:type="gramEnd"/>
            <w:r w:rsidRPr="00BF4B4E">
              <w:rPr>
                <w:rFonts w:ascii="Calibri" w:hAnsi="Calibri"/>
                <w:snapToGrid w:val="0"/>
                <w:color w:val="1F3864" w:themeColor="accent5" w:themeShade="80"/>
              </w:rPr>
              <w:t>______________________________</w:t>
            </w:r>
          </w:p>
          <w:p w14:paraId="27A049A5" w14:textId="77777777" w:rsidR="00861EE3" w:rsidRPr="00BF4B4E" w:rsidRDefault="00861EE3" w:rsidP="000A6875">
            <w:pPr>
              <w:spacing w:line="288" w:lineRule="auto"/>
              <w:ind w:left="20"/>
              <w:rPr>
                <w:rFonts w:ascii="Calibri" w:hAnsi="Calibri"/>
                <w:snapToGrid w:val="0"/>
                <w:color w:val="1F3864" w:themeColor="accent5" w:themeShade="80"/>
              </w:rPr>
            </w:pPr>
          </w:p>
          <w:p w14:paraId="4B3610C3" w14:textId="77777777" w:rsidR="00861EE3" w:rsidRPr="00BF4B4E" w:rsidRDefault="00861EE3" w:rsidP="000A6875">
            <w:pPr>
              <w:spacing w:line="288" w:lineRule="auto"/>
              <w:ind w:left="20" w:right="487"/>
              <w:rPr>
                <w:rFonts w:ascii="Calibri" w:hAnsi="Calibri"/>
                <w:snapToGrid w:val="0"/>
                <w:color w:val="1F3864" w:themeColor="accent5" w:themeShade="80"/>
              </w:rPr>
            </w:pPr>
            <w:r w:rsidRPr="00BF4B4E">
              <w:rPr>
                <w:rFonts w:ascii="Calibri" w:hAnsi="Calibri"/>
                <w:snapToGrid w:val="0"/>
                <w:color w:val="1F3864" w:themeColor="accent5" w:themeShade="80"/>
              </w:rPr>
              <w:t xml:space="preserve">Job Title: </w:t>
            </w:r>
          </w:p>
          <w:p w14:paraId="742DF02A" w14:textId="77777777" w:rsidR="00861EE3" w:rsidRPr="00BF4B4E" w:rsidRDefault="00861EE3" w:rsidP="000A6875">
            <w:pPr>
              <w:spacing w:line="288" w:lineRule="auto"/>
              <w:ind w:left="20" w:right="487"/>
              <w:rPr>
                <w:rFonts w:ascii="Calibri" w:hAnsi="Calibri"/>
                <w:snapToGrid w:val="0"/>
                <w:color w:val="1F3864" w:themeColor="accent5" w:themeShade="80"/>
              </w:rPr>
            </w:pPr>
            <w:r w:rsidRPr="00BF4B4E">
              <w:rPr>
                <w:rFonts w:ascii="Calibri" w:hAnsi="Calibri"/>
                <w:snapToGrid w:val="0"/>
                <w:color w:val="1F3864" w:themeColor="accent5" w:themeShade="80"/>
              </w:rPr>
              <w:t>_______________________________</w:t>
            </w:r>
          </w:p>
          <w:p w14:paraId="2163679B" w14:textId="77777777" w:rsidR="00861EE3" w:rsidRPr="00BF4B4E" w:rsidRDefault="00861EE3" w:rsidP="000A6875">
            <w:pPr>
              <w:spacing w:line="288" w:lineRule="auto"/>
              <w:ind w:left="20"/>
              <w:rPr>
                <w:rFonts w:ascii="Calibri" w:hAnsi="Calibri"/>
                <w:snapToGrid w:val="0"/>
                <w:color w:val="1F3864" w:themeColor="accent5" w:themeShade="80"/>
              </w:rPr>
            </w:pPr>
          </w:p>
          <w:p w14:paraId="7D8A71F5" w14:textId="77777777" w:rsidR="00861EE3" w:rsidRPr="00BF4B4E" w:rsidRDefault="00861EE3" w:rsidP="000A6875">
            <w:pPr>
              <w:spacing w:line="288" w:lineRule="auto"/>
              <w:ind w:left="20"/>
              <w:rPr>
                <w:rFonts w:ascii="Calibri" w:hAnsi="Calibri"/>
                <w:snapToGrid w:val="0"/>
                <w:color w:val="1F3864" w:themeColor="accent5" w:themeShade="80"/>
              </w:rPr>
            </w:pPr>
            <w:r w:rsidRPr="00BF4B4E">
              <w:rPr>
                <w:rFonts w:ascii="Calibri" w:hAnsi="Calibri"/>
                <w:snapToGrid w:val="0"/>
                <w:color w:val="1F3864" w:themeColor="accent5" w:themeShade="80"/>
              </w:rPr>
              <w:t>Signature ______________________________________</w:t>
            </w:r>
          </w:p>
          <w:p w14:paraId="4342BD3D" w14:textId="5B7F2D4D" w:rsidR="00861EE3" w:rsidRPr="00BF4B4E" w:rsidRDefault="002E30B4" w:rsidP="000A6875">
            <w:pPr>
              <w:spacing w:line="288" w:lineRule="auto"/>
              <w:ind w:left="20"/>
              <w:rPr>
                <w:rFonts w:ascii="Calibri" w:hAnsi="Calibri"/>
                <w:snapToGrid w:val="0"/>
                <w:color w:val="1F3864" w:themeColor="accent5" w:themeShade="80"/>
              </w:rPr>
            </w:pPr>
            <w:r w:rsidRPr="00BF4B4E">
              <w:rPr>
                <w:rFonts w:ascii="Calibri" w:hAnsi="Calibri"/>
                <w:snapToGrid w:val="0"/>
                <w:color w:val="1F3864" w:themeColor="accent5" w:themeShade="80"/>
              </w:rPr>
              <w:t>(Preferably electronic signature)</w:t>
            </w:r>
          </w:p>
          <w:p w14:paraId="4D180365" w14:textId="77777777" w:rsidR="00861EE3" w:rsidRPr="00BF4B4E" w:rsidRDefault="00861EE3" w:rsidP="00CE62A1">
            <w:pPr>
              <w:spacing w:line="288" w:lineRule="auto"/>
              <w:ind w:left="20"/>
              <w:rPr>
                <w:rFonts w:ascii="Calibri" w:hAnsi="Calibri"/>
                <w:snapToGrid w:val="0"/>
                <w:color w:val="1F3864" w:themeColor="accent5" w:themeShade="80"/>
              </w:rPr>
            </w:pPr>
          </w:p>
        </w:tc>
        <w:tc>
          <w:tcPr>
            <w:tcW w:w="4584" w:type="dxa"/>
          </w:tcPr>
          <w:p w14:paraId="2D4729B6" w14:textId="77777777" w:rsidR="00861EE3" w:rsidRPr="00BF4B4E" w:rsidRDefault="00861EE3" w:rsidP="000A6875">
            <w:pPr>
              <w:spacing w:line="288" w:lineRule="auto"/>
              <w:rPr>
                <w:rFonts w:ascii="Calibri" w:hAnsi="Calibri"/>
                <w:snapToGrid w:val="0"/>
                <w:color w:val="1F3864" w:themeColor="accent5" w:themeShade="80"/>
              </w:rPr>
            </w:pPr>
          </w:p>
          <w:p w14:paraId="1E17F3CD" w14:textId="77777777" w:rsidR="00861EE3" w:rsidRPr="00BF4B4E" w:rsidRDefault="00861EE3" w:rsidP="000A6875">
            <w:pPr>
              <w:tabs>
                <w:tab w:val="left" w:pos="781"/>
              </w:tabs>
              <w:spacing w:line="288" w:lineRule="auto"/>
              <w:ind w:left="214"/>
              <w:rPr>
                <w:rFonts w:ascii="Calibri" w:hAnsi="Calibri"/>
                <w:snapToGrid w:val="0"/>
                <w:color w:val="1F3864" w:themeColor="accent5" w:themeShade="80"/>
              </w:rPr>
            </w:pPr>
            <w:r w:rsidRPr="00BF4B4E">
              <w:rPr>
                <w:rFonts w:ascii="Calibri" w:hAnsi="Calibri"/>
                <w:snapToGrid w:val="0"/>
                <w:color w:val="1F3864" w:themeColor="accent5" w:themeShade="80"/>
              </w:rPr>
              <w:t xml:space="preserve">Done in Porto, on the______________                                                                                                                   </w:t>
            </w:r>
          </w:p>
          <w:p w14:paraId="17F0BA4B" w14:textId="77777777" w:rsidR="00861EE3" w:rsidRPr="00BF4B4E" w:rsidRDefault="00861EE3" w:rsidP="000A6875">
            <w:pPr>
              <w:spacing w:line="288" w:lineRule="auto"/>
              <w:ind w:left="214"/>
              <w:rPr>
                <w:rFonts w:ascii="Calibri" w:hAnsi="Calibri"/>
                <w:snapToGrid w:val="0"/>
                <w:color w:val="1F3864" w:themeColor="accent5" w:themeShade="80"/>
              </w:rPr>
            </w:pPr>
          </w:p>
          <w:p w14:paraId="09279947" w14:textId="77777777" w:rsidR="00861EE3" w:rsidRPr="00BF4B4E" w:rsidRDefault="00861EE3" w:rsidP="000A6875">
            <w:pPr>
              <w:spacing w:line="288" w:lineRule="auto"/>
              <w:ind w:left="214"/>
              <w:rPr>
                <w:rFonts w:ascii="Calibri" w:hAnsi="Calibri"/>
                <w:snapToGrid w:val="0"/>
                <w:color w:val="1F3864" w:themeColor="accent5" w:themeShade="80"/>
              </w:rPr>
            </w:pPr>
          </w:p>
          <w:p w14:paraId="4F2FFDF4" w14:textId="77777777" w:rsidR="00861EE3" w:rsidRPr="00BF4B4E" w:rsidRDefault="00861EE3" w:rsidP="000A6875">
            <w:pPr>
              <w:spacing w:line="288" w:lineRule="auto"/>
              <w:ind w:left="214"/>
              <w:rPr>
                <w:rFonts w:ascii="Calibri" w:hAnsi="Calibri"/>
                <w:snapToGrid w:val="0"/>
                <w:color w:val="1F3864" w:themeColor="accent5" w:themeShade="80"/>
              </w:rPr>
            </w:pPr>
            <w:r w:rsidRPr="00BF4B4E">
              <w:rPr>
                <w:rFonts w:ascii="Calibri" w:hAnsi="Calibri"/>
                <w:snapToGrid w:val="0"/>
                <w:color w:val="1F3864" w:themeColor="accent5" w:themeShade="80"/>
              </w:rPr>
              <w:t>Name: ______________</w:t>
            </w:r>
          </w:p>
          <w:p w14:paraId="7F2E4637" w14:textId="77777777" w:rsidR="00861EE3" w:rsidRPr="00BF4B4E" w:rsidRDefault="00861EE3" w:rsidP="000A6875">
            <w:pPr>
              <w:spacing w:line="288" w:lineRule="auto"/>
              <w:ind w:left="214"/>
              <w:rPr>
                <w:rFonts w:ascii="Calibri" w:hAnsi="Calibri"/>
                <w:snapToGrid w:val="0"/>
                <w:color w:val="1F3864" w:themeColor="accent5" w:themeShade="80"/>
              </w:rPr>
            </w:pPr>
          </w:p>
          <w:p w14:paraId="2D489E3F" w14:textId="77777777" w:rsidR="00861EE3" w:rsidRPr="00BF4B4E" w:rsidRDefault="00861EE3" w:rsidP="000A6875">
            <w:pPr>
              <w:spacing w:line="288" w:lineRule="auto"/>
              <w:ind w:left="214"/>
              <w:rPr>
                <w:rFonts w:ascii="Calibri" w:hAnsi="Calibri"/>
                <w:snapToGrid w:val="0"/>
                <w:color w:val="1F3864" w:themeColor="accent5" w:themeShade="80"/>
              </w:rPr>
            </w:pPr>
            <w:r w:rsidRPr="00BF4B4E">
              <w:rPr>
                <w:rFonts w:ascii="Calibri" w:hAnsi="Calibri"/>
                <w:snapToGrid w:val="0"/>
                <w:color w:val="1F3864" w:themeColor="accent5" w:themeShade="80"/>
              </w:rPr>
              <w:t>Managing Authority Representative</w:t>
            </w:r>
          </w:p>
          <w:p w14:paraId="55EBB0E0" w14:textId="77777777" w:rsidR="00861EE3" w:rsidRPr="00BF4B4E" w:rsidRDefault="00861EE3" w:rsidP="000A6875">
            <w:pPr>
              <w:spacing w:line="288" w:lineRule="auto"/>
              <w:ind w:left="214"/>
              <w:rPr>
                <w:rFonts w:ascii="Calibri" w:hAnsi="Calibri"/>
                <w:snapToGrid w:val="0"/>
                <w:color w:val="1F3864" w:themeColor="accent5" w:themeShade="80"/>
              </w:rPr>
            </w:pPr>
            <w:r w:rsidRPr="00BF4B4E">
              <w:rPr>
                <w:rFonts w:ascii="Calibri" w:hAnsi="Calibri"/>
                <w:snapToGrid w:val="0"/>
                <w:color w:val="1F3864" w:themeColor="accent5" w:themeShade="80"/>
              </w:rPr>
              <w:t>Title: ______________</w:t>
            </w:r>
          </w:p>
          <w:p w14:paraId="4DED60FC" w14:textId="77777777" w:rsidR="00861EE3" w:rsidRPr="00BF4B4E" w:rsidRDefault="00861EE3" w:rsidP="000A6875">
            <w:pPr>
              <w:spacing w:line="288" w:lineRule="auto"/>
              <w:ind w:left="214"/>
              <w:rPr>
                <w:rFonts w:ascii="Calibri" w:hAnsi="Calibri"/>
                <w:snapToGrid w:val="0"/>
                <w:color w:val="1F3864" w:themeColor="accent5" w:themeShade="80"/>
              </w:rPr>
            </w:pPr>
          </w:p>
          <w:p w14:paraId="26AE74B2" w14:textId="77777777" w:rsidR="00861EE3" w:rsidRPr="00BF4B4E" w:rsidRDefault="00861EE3" w:rsidP="000A6875">
            <w:pPr>
              <w:spacing w:line="288" w:lineRule="auto"/>
              <w:ind w:left="214"/>
              <w:rPr>
                <w:rFonts w:ascii="Calibri" w:hAnsi="Calibri"/>
                <w:snapToGrid w:val="0"/>
                <w:color w:val="1F3864" w:themeColor="accent5" w:themeShade="80"/>
              </w:rPr>
            </w:pPr>
            <w:r w:rsidRPr="00BF4B4E">
              <w:rPr>
                <w:rFonts w:ascii="Calibri" w:hAnsi="Calibri"/>
                <w:snapToGrid w:val="0"/>
                <w:color w:val="1F3864" w:themeColor="accent5" w:themeShade="80"/>
              </w:rPr>
              <w:t>Signature:</w:t>
            </w:r>
          </w:p>
          <w:p w14:paraId="0DBF9FA4" w14:textId="77777777" w:rsidR="00861EE3" w:rsidRPr="00BF4B4E" w:rsidRDefault="00861EE3" w:rsidP="000A6875">
            <w:pPr>
              <w:spacing w:line="288" w:lineRule="auto"/>
              <w:ind w:left="214"/>
              <w:rPr>
                <w:rFonts w:ascii="Calibri" w:hAnsi="Calibri"/>
                <w:snapToGrid w:val="0"/>
                <w:color w:val="1F3864" w:themeColor="accent5" w:themeShade="80"/>
              </w:rPr>
            </w:pPr>
            <w:r w:rsidRPr="00BF4B4E">
              <w:rPr>
                <w:rFonts w:ascii="Calibri" w:hAnsi="Calibri"/>
                <w:snapToGrid w:val="0"/>
                <w:color w:val="1F3864" w:themeColor="accent5" w:themeShade="80"/>
              </w:rPr>
              <w:t>___________________________________</w:t>
            </w:r>
          </w:p>
          <w:p w14:paraId="678FAF03" w14:textId="0122D3EA" w:rsidR="00861EE3" w:rsidRPr="00BF4B4E" w:rsidRDefault="00861EE3" w:rsidP="000A6875">
            <w:pPr>
              <w:spacing w:line="288" w:lineRule="auto"/>
              <w:ind w:left="214"/>
              <w:rPr>
                <w:rFonts w:ascii="Calibri" w:hAnsi="Calibri"/>
                <w:snapToGrid w:val="0"/>
                <w:color w:val="1F3864" w:themeColor="accent5" w:themeShade="80"/>
              </w:rPr>
            </w:pPr>
          </w:p>
        </w:tc>
      </w:tr>
    </w:tbl>
    <w:p w14:paraId="6857A872" w14:textId="77777777" w:rsidR="00861EE3" w:rsidRPr="00BF4B4E" w:rsidRDefault="00861EE3" w:rsidP="00861EE3">
      <w:pPr>
        <w:tabs>
          <w:tab w:val="left" w:pos="-1440"/>
          <w:tab w:val="left" w:pos="-720"/>
          <w:tab w:val="left" w:pos="0"/>
        </w:tabs>
        <w:rPr>
          <w:color w:val="1F3864" w:themeColor="accent5" w:themeShade="80"/>
          <w:u w:val="single"/>
        </w:rPr>
      </w:pPr>
      <w:r w:rsidRPr="00BF4B4E">
        <w:rPr>
          <w:color w:val="1F3864" w:themeColor="accent5" w:themeShade="80"/>
          <w:u w:val="single"/>
        </w:rPr>
        <w:lastRenderedPageBreak/>
        <w:t xml:space="preserve">Annexes: </w:t>
      </w:r>
    </w:p>
    <w:p w14:paraId="05E60724" w14:textId="77777777" w:rsidR="00861EE3" w:rsidRPr="00BF4B4E" w:rsidRDefault="00861EE3" w:rsidP="00EA5097">
      <w:pPr>
        <w:widowControl w:val="0"/>
        <w:numPr>
          <w:ilvl w:val="1"/>
          <w:numId w:val="4"/>
        </w:numPr>
        <w:tabs>
          <w:tab w:val="left" w:pos="-1440"/>
          <w:tab w:val="left" w:pos="-720"/>
          <w:tab w:val="left" w:pos="0"/>
          <w:tab w:val="left" w:pos="284"/>
        </w:tabs>
        <w:spacing w:before="120" w:after="0" w:line="240" w:lineRule="auto"/>
        <w:ind w:left="284" w:hanging="284"/>
        <w:rPr>
          <w:color w:val="1F3864" w:themeColor="accent5" w:themeShade="80"/>
        </w:rPr>
      </w:pPr>
      <w:r w:rsidRPr="00BF4B4E">
        <w:rPr>
          <w:color w:val="1F3864" w:themeColor="accent5" w:themeShade="80"/>
        </w:rPr>
        <w:t>Project Approved Form (PAF) and appendices as mentioned in the Programme Manual;</w:t>
      </w:r>
    </w:p>
    <w:p w14:paraId="64ACAEDE" w14:textId="77777777" w:rsidR="00861EE3" w:rsidRPr="00BF4B4E" w:rsidRDefault="00861EE3" w:rsidP="00EA5097">
      <w:pPr>
        <w:widowControl w:val="0"/>
        <w:numPr>
          <w:ilvl w:val="1"/>
          <w:numId w:val="4"/>
        </w:numPr>
        <w:tabs>
          <w:tab w:val="left" w:pos="-1440"/>
          <w:tab w:val="left" w:pos="-720"/>
          <w:tab w:val="left" w:pos="0"/>
          <w:tab w:val="left" w:pos="284"/>
        </w:tabs>
        <w:spacing w:before="120" w:after="0" w:line="240" w:lineRule="auto"/>
        <w:ind w:left="284" w:hanging="284"/>
        <w:rPr>
          <w:color w:val="1F3864" w:themeColor="accent5" w:themeShade="80"/>
        </w:rPr>
      </w:pPr>
      <w:r w:rsidRPr="00BF4B4E">
        <w:rPr>
          <w:color w:val="1F3864" w:themeColor="accent5" w:themeShade="80"/>
        </w:rPr>
        <w:t>Programme Manual;</w:t>
      </w:r>
    </w:p>
    <w:p w14:paraId="4FBD5CBB" w14:textId="3944EE55" w:rsidR="00861EE3" w:rsidRPr="00BF4B4E" w:rsidRDefault="00861EE3" w:rsidP="00EA5097">
      <w:pPr>
        <w:widowControl w:val="0"/>
        <w:numPr>
          <w:ilvl w:val="1"/>
          <w:numId w:val="4"/>
        </w:numPr>
        <w:tabs>
          <w:tab w:val="left" w:pos="-1440"/>
          <w:tab w:val="left" w:pos="-720"/>
          <w:tab w:val="left" w:pos="0"/>
          <w:tab w:val="left" w:pos="284"/>
        </w:tabs>
        <w:spacing w:before="120" w:after="0" w:line="240" w:lineRule="auto"/>
        <w:ind w:left="284" w:hanging="284"/>
        <w:rPr>
          <w:color w:val="1F3864" w:themeColor="accent5" w:themeShade="80"/>
        </w:rPr>
      </w:pPr>
      <w:r w:rsidRPr="00BF4B4E">
        <w:rPr>
          <w:color w:val="1F3864" w:themeColor="accent5" w:themeShade="80"/>
        </w:rPr>
        <w:t>Management and Control System Procedures Manual of &lt;</w:t>
      </w:r>
      <w:r w:rsidR="00A2117C" w:rsidRPr="00BF4B4E">
        <w:rPr>
          <w:color w:val="1F3864" w:themeColor="accent5" w:themeShade="80"/>
          <w:highlight w:val="yellow"/>
        </w:rPr>
        <w:t>……………….</w:t>
      </w:r>
      <w:r w:rsidRPr="00BF4B4E">
        <w:rPr>
          <w:color w:val="1F3864" w:themeColor="accent5" w:themeShade="80"/>
          <w:highlight w:val="yellow"/>
        </w:rPr>
        <w:t>&gt;</w:t>
      </w:r>
      <w:r w:rsidRPr="00BF4B4E">
        <w:rPr>
          <w:color w:val="1F3864" w:themeColor="accent5" w:themeShade="80"/>
        </w:rPr>
        <w:t>;</w:t>
      </w:r>
    </w:p>
    <w:p w14:paraId="72623A67" w14:textId="01A58871" w:rsidR="00790814" w:rsidRPr="00BF4B4E" w:rsidRDefault="00861EE3" w:rsidP="00BF4B4E">
      <w:pPr>
        <w:widowControl w:val="0"/>
        <w:numPr>
          <w:ilvl w:val="1"/>
          <w:numId w:val="4"/>
        </w:numPr>
        <w:tabs>
          <w:tab w:val="left" w:pos="-1440"/>
          <w:tab w:val="left" w:pos="-720"/>
          <w:tab w:val="left" w:pos="0"/>
          <w:tab w:val="left" w:pos="284"/>
        </w:tabs>
        <w:spacing w:before="120" w:after="0" w:line="240" w:lineRule="auto"/>
        <w:ind w:left="284" w:hanging="284"/>
        <w:rPr>
          <w:sz w:val="32"/>
          <w:szCs w:val="32"/>
        </w:rPr>
      </w:pPr>
      <w:r w:rsidRPr="00BF4B4E">
        <w:rPr>
          <w:color w:val="1F3864" w:themeColor="accent5" w:themeShade="80"/>
        </w:rPr>
        <w:t>Interreg AA Cooperation Programme.</w:t>
      </w:r>
    </w:p>
    <w:sectPr w:rsidR="00790814" w:rsidRPr="00BF4B4E" w:rsidSect="00985BB6">
      <w:headerReference w:type="default" r:id="rId9"/>
      <w:footerReference w:type="default" r:id="rId10"/>
      <w:headerReference w:type="first" r:id="rId11"/>
      <w:pgSz w:w="11906" w:h="17338"/>
      <w:pgMar w:top="675" w:right="1418" w:bottom="709" w:left="1588" w:header="567" w:footer="851"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46EE0" w14:textId="77777777" w:rsidR="007E5065" w:rsidRPr="00BF4B4E" w:rsidRDefault="007E5065" w:rsidP="00EB4EAD">
      <w:pPr>
        <w:spacing w:after="0" w:line="240" w:lineRule="auto"/>
      </w:pPr>
      <w:r w:rsidRPr="00BF4B4E">
        <w:separator/>
      </w:r>
    </w:p>
  </w:endnote>
  <w:endnote w:type="continuationSeparator" w:id="0">
    <w:p w14:paraId="59739A5C" w14:textId="77777777" w:rsidR="007E5065" w:rsidRPr="00BF4B4E" w:rsidRDefault="007E5065" w:rsidP="00EB4EAD">
      <w:pPr>
        <w:spacing w:after="0" w:line="240" w:lineRule="auto"/>
      </w:pPr>
      <w:r w:rsidRPr="00BF4B4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Verdana">
    <w:panose1 w:val="020B0604030504040204"/>
    <w:charset w:val="00"/>
    <w:family w:val="swiss"/>
    <w:pitch w:val="variable"/>
    <w:sig w:usb0="A00006FF" w:usb1="4000205B" w:usb2="00000010" w:usb3="00000000" w:csb0="0000019F" w:csb1="00000000"/>
  </w:font>
  <w:font w:name="Open Sans">
    <w:altName w:val="Segoe UI"/>
    <w:panose1 w:val="00000000000000000000"/>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785017"/>
      <w:docPartObj>
        <w:docPartGallery w:val="Page Numbers (Bottom of Page)"/>
        <w:docPartUnique/>
      </w:docPartObj>
    </w:sdtPr>
    <w:sdtEndPr>
      <w:rPr>
        <w:color w:val="1F3864" w:themeColor="accent5" w:themeShade="80"/>
      </w:rPr>
    </w:sdtEndPr>
    <w:sdtContent>
      <w:p w14:paraId="64E36E3A" w14:textId="4F299306" w:rsidR="008E0DBA" w:rsidRPr="00BF4B4E" w:rsidRDefault="008E0DBA">
        <w:pPr>
          <w:pStyle w:val="Rodap"/>
          <w:jc w:val="right"/>
          <w:rPr>
            <w:color w:val="1F3864" w:themeColor="accent5" w:themeShade="80"/>
          </w:rPr>
        </w:pPr>
        <w:r w:rsidRPr="00BF4B4E">
          <w:rPr>
            <w:color w:val="1F3864" w:themeColor="accent5" w:themeShade="80"/>
          </w:rPr>
          <w:fldChar w:fldCharType="begin"/>
        </w:r>
        <w:r w:rsidRPr="00BF4B4E">
          <w:rPr>
            <w:color w:val="1F3864" w:themeColor="accent5" w:themeShade="80"/>
          </w:rPr>
          <w:instrText>PAGE   \* MERGEFORMAT</w:instrText>
        </w:r>
        <w:r w:rsidRPr="00BF4B4E">
          <w:rPr>
            <w:color w:val="1F3864" w:themeColor="accent5" w:themeShade="80"/>
          </w:rPr>
          <w:fldChar w:fldCharType="separate"/>
        </w:r>
        <w:r w:rsidR="0072463D" w:rsidRPr="00BF4B4E">
          <w:rPr>
            <w:color w:val="1F3864" w:themeColor="accent5" w:themeShade="80"/>
          </w:rPr>
          <w:t>24</w:t>
        </w:r>
        <w:r w:rsidRPr="00BF4B4E">
          <w:rPr>
            <w:color w:val="1F3864" w:themeColor="accent5" w:themeShade="80"/>
          </w:rPr>
          <w:fldChar w:fldCharType="end"/>
        </w:r>
      </w:p>
    </w:sdtContent>
  </w:sdt>
  <w:p w14:paraId="15D11919" w14:textId="0DD2A3D2" w:rsidR="00FE266F" w:rsidRPr="00BF4B4E" w:rsidRDefault="00FE266F" w:rsidP="00FE266F">
    <w:pPr>
      <w:pStyle w:val="Cabealho"/>
      <w:jc w:val="center"/>
      <w:rPr>
        <w:color w:val="1F3864" w:themeColor="accent5" w:themeShade="8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926B1" w14:textId="77777777" w:rsidR="007E5065" w:rsidRPr="00BF4B4E" w:rsidRDefault="007E5065" w:rsidP="00EB4EAD">
      <w:pPr>
        <w:spacing w:after="0" w:line="240" w:lineRule="auto"/>
      </w:pPr>
      <w:r w:rsidRPr="00BF4B4E">
        <w:separator/>
      </w:r>
    </w:p>
  </w:footnote>
  <w:footnote w:type="continuationSeparator" w:id="0">
    <w:p w14:paraId="3CBCDE19" w14:textId="77777777" w:rsidR="007E5065" w:rsidRPr="00BF4B4E" w:rsidRDefault="007E5065" w:rsidP="00EB4EAD">
      <w:pPr>
        <w:spacing w:after="0" w:line="240" w:lineRule="auto"/>
      </w:pPr>
      <w:r w:rsidRPr="00BF4B4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3AFC" w14:textId="487CA9B8" w:rsidR="00985BB6" w:rsidRDefault="00985BB6" w:rsidP="00985BB6">
    <w:pPr>
      <w:pStyle w:val="Cabealho"/>
      <w:jc w:val="right"/>
      <w:rPr>
        <w:color w:val="1F3864" w:themeColor="accent5" w:themeShade="80"/>
        <w:sz w:val="18"/>
      </w:rPr>
    </w:pPr>
    <w:r w:rsidRPr="00BF4B4E">
      <w:rPr>
        <w:noProof/>
      </w:rPr>
      <w:drawing>
        <wp:anchor distT="0" distB="0" distL="114300" distR="114300" simplePos="0" relativeHeight="251658240" behindDoc="0" locked="0" layoutInCell="1" allowOverlap="1" wp14:anchorId="0FF3C48B" wp14:editId="26485B29">
          <wp:simplePos x="0" y="0"/>
          <wp:positionH relativeFrom="column">
            <wp:posOffset>-635</wp:posOffset>
          </wp:positionH>
          <wp:positionV relativeFrom="paragraph">
            <wp:posOffset>66675</wp:posOffset>
          </wp:positionV>
          <wp:extent cx="3167380" cy="658495"/>
          <wp:effectExtent l="0" t="0" r="0" b="8255"/>
          <wp:wrapSquare wrapText="bothSides"/>
          <wp:docPr id="1235601274" name="Imagem 1" descr="Uma imagem com texto, Tipo de letra, Azul elétrico,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601274" name="Imagem 1" descr="Uma imagem com texto, Tipo de letra, Azul elétrico, captura de ecrã&#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7380" cy="658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9E7218" w14:textId="6D614ABA" w:rsidR="00985BB6" w:rsidRDefault="00DC4D8B" w:rsidP="00985BB6">
    <w:pPr>
      <w:pStyle w:val="Cabealho"/>
      <w:jc w:val="right"/>
      <w:rPr>
        <w:color w:val="1F3864" w:themeColor="accent5" w:themeShade="80"/>
        <w:sz w:val="18"/>
      </w:rPr>
    </w:pPr>
    <w:r w:rsidRPr="00BF4B4E">
      <w:rPr>
        <w:color w:val="1F3864" w:themeColor="accent5" w:themeShade="80"/>
        <w:sz w:val="18"/>
      </w:rPr>
      <w:t xml:space="preserve">                                </w:t>
    </w:r>
    <w:r w:rsidR="00790814" w:rsidRPr="00BF4B4E">
      <w:rPr>
        <w:color w:val="1F3864" w:themeColor="accent5" w:themeShade="80"/>
        <w:sz w:val="18"/>
      </w:rPr>
      <w:t>Interreg Atlantic Area 2021-202</w:t>
    </w:r>
    <w:r w:rsidR="00985BB6">
      <w:rPr>
        <w:color w:val="1F3864" w:themeColor="accent5" w:themeShade="80"/>
        <w:sz w:val="18"/>
      </w:rPr>
      <w:t>7</w:t>
    </w:r>
  </w:p>
  <w:p w14:paraId="6A29E5E0" w14:textId="1B9FC03C" w:rsidR="00790814" w:rsidRPr="00BF4B4E" w:rsidRDefault="008430B1" w:rsidP="00985BB6">
    <w:pPr>
      <w:pStyle w:val="Cabealho"/>
      <w:jc w:val="right"/>
      <w:rPr>
        <w:color w:val="1F3864" w:themeColor="accent5" w:themeShade="80"/>
        <w:sz w:val="18"/>
      </w:rPr>
    </w:pPr>
    <w:r w:rsidRPr="00BF4B4E">
      <w:rPr>
        <w:color w:val="1F3864" w:themeColor="accent5" w:themeShade="80"/>
        <w:sz w:val="18"/>
      </w:rPr>
      <w:t xml:space="preserve">Written Agreement countries outside </w:t>
    </w:r>
    <w:proofErr w:type="spellStart"/>
    <w:r w:rsidRPr="00BF4B4E">
      <w:rPr>
        <w:color w:val="1F3864" w:themeColor="accent5" w:themeShade="80"/>
        <w:sz w:val="18"/>
      </w:rPr>
      <w:t>AA</w:t>
    </w:r>
    <w:r w:rsidR="00790814" w:rsidRPr="00BF4B4E">
      <w:rPr>
        <w:color w:val="1F3864" w:themeColor="accent5" w:themeShade="80"/>
        <w:sz w:val="18"/>
      </w:rPr>
      <w:t>_</w:t>
    </w:r>
    <w:r w:rsidR="00861EE3" w:rsidRPr="00BF4B4E">
      <w:rPr>
        <w:color w:val="1F3864" w:themeColor="accent5" w:themeShade="80"/>
        <w:sz w:val="18"/>
      </w:rPr>
      <w:t>A</w:t>
    </w:r>
    <w:r w:rsidRPr="00BF4B4E">
      <w:rPr>
        <w:color w:val="1F3864" w:themeColor="accent5" w:themeShade="80"/>
        <w:sz w:val="18"/>
      </w:rPr>
      <w:t>ugust</w:t>
    </w:r>
    <w:proofErr w:type="spellEnd"/>
    <w:r w:rsidR="00790814" w:rsidRPr="00BF4B4E">
      <w:rPr>
        <w:color w:val="1F3864" w:themeColor="accent5" w:themeShade="80"/>
        <w:sz w:val="18"/>
      </w:rPr>
      <w:t xml:space="preserve"> 202</w:t>
    </w:r>
    <w:r w:rsidR="00813B00" w:rsidRPr="00BF4B4E">
      <w:rPr>
        <w:color w:val="1F3864" w:themeColor="accent5" w:themeShade="80"/>
        <w:sz w:val="18"/>
      </w:rPr>
      <w:t>3</w:t>
    </w:r>
  </w:p>
  <w:p w14:paraId="648F5C33" w14:textId="77777777" w:rsidR="00790814" w:rsidRPr="00BF4B4E" w:rsidRDefault="00790814" w:rsidP="00790814">
    <w:pPr>
      <w:pStyle w:val="Cabealho"/>
      <w:jc w:val="right"/>
    </w:pPr>
  </w:p>
  <w:p w14:paraId="5E145487" w14:textId="6464A7C0" w:rsidR="00825D4E" w:rsidRPr="00BF4B4E" w:rsidRDefault="00825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2990" w14:textId="4E404FCF" w:rsidR="008816F5" w:rsidRPr="00BF4B4E" w:rsidRDefault="008816F5" w:rsidP="002A50E7">
    <w:pPr>
      <w:pStyle w:val="Cabealho"/>
      <w:ind w:left="-284"/>
    </w:pPr>
    <w:r w:rsidRPr="00BF4B4E">
      <w:rPr>
        <w:rFonts w:cstheme="minorHAnsi"/>
        <w:b/>
        <w:bCs/>
        <w:noProof/>
        <w:color w:val="2E74B5" w:themeColor="accent1" w:themeShade="BF"/>
        <w:sz w:val="40"/>
        <w:szCs w:val="40"/>
        <w:lang w:eastAsia="en-IE"/>
      </w:rPr>
      <w:drawing>
        <wp:inline distT="0" distB="0" distL="0" distR="0" wp14:anchorId="5609DD0E" wp14:editId="6BCB441E">
          <wp:extent cx="3287486" cy="699836"/>
          <wp:effectExtent l="0" t="0" r="8255" b="508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lantic Area logo.jpg"/>
                  <pic:cNvPicPr/>
                </pic:nvPicPr>
                <pic:blipFill>
                  <a:blip r:embed="rId1">
                    <a:extLst>
                      <a:ext uri="{28A0092B-C50C-407E-A947-70E740481C1C}">
                        <a14:useLocalDpi xmlns:a14="http://schemas.microsoft.com/office/drawing/2010/main" val="0"/>
                      </a:ext>
                    </a:extLst>
                  </a:blip>
                  <a:stretch>
                    <a:fillRect/>
                  </a:stretch>
                </pic:blipFill>
                <pic:spPr>
                  <a:xfrm>
                    <a:off x="0" y="0"/>
                    <a:ext cx="3455767" cy="735659"/>
                  </a:xfrm>
                  <a:prstGeom prst="rect">
                    <a:avLst/>
                  </a:prstGeom>
                </pic:spPr>
              </pic:pic>
            </a:graphicData>
          </a:graphic>
        </wp:inline>
      </w:drawing>
    </w:r>
    <w:r w:rsidR="00DC4D8B" w:rsidRPr="00BF4B4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1487"/>
    <w:multiLevelType w:val="hybridMultilevel"/>
    <w:tmpl w:val="2E2A787A"/>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9BD57F2"/>
    <w:multiLevelType w:val="hybridMultilevel"/>
    <w:tmpl w:val="2E2A787A"/>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0D244F0D"/>
    <w:multiLevelType w:val="hybridMultilevel"/>
    <w:tmpl w:val="5330EFA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2F56BE9"/>
    <w:multiLevelType w:val="hybridMultilevel"/>
    <w:tmpl w:val="62BC3FF6"/>
    <w:lvl w:ilvl="0" w:tplc="0816000D">
      <w:start w:val="1"/>
      <w:numFmt w:val="bullet"/>
      <w:lvlText w:val=""/>
      <w:lvlJc w:val="left"/>
      <w:pPr>
        <w:ind w:left="1428" w:hanging="360"/>
      </w:pPr>
      <w:rPr>
        <w:rFonts w:ascii="Wingdings" w:hAnsi="Wingdings"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4" w15:restartNumberingAfterBreak="0">
    <w:nsid w:val="13863D3F"/>
    <w:multiLevelType w:val="hybridMultilevel"/>
    <w:tmpl w:val="9BD83750"/>
    <w:lvl w:ilvl="0" w:tplc="0C07000F">
      <w:start w:val="1"/>
      <w:numFmt w:val="decimal"/>
      <w:lvlText w:val="%1."/>
      <w:lvlJc w:val="left"/>
      <w:pPr>
        <w:ind w:left="360" w:hanging="360"/>
      </w:pPr>
    </w:lvl>
    <w:lvl w:ilvl="1" w:tplc="5476980C">
      <w:start w:val="1"/>
      <w:numFmt w:val="lowerLetter"/>
      <w:lvlText w:val="%2)"/>
      <w:lvlJc w:val="left"/>
      <w:pPr>
        <w:ind w:left="855" w:hanging="135"/>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 w15:restartNumberingAfterBreak="0">
    <w:nsid w:val="15980FD9"/>
    <w:multiLevelType w:val="hybridMultilevel"/>
    <w:tmpl w:val="150237EC"/>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6" w15:restartNumberingAfterBreak="0">
    <w:nsid w:val="24AD3A59"/>
    <w:multiLevelType w:val="hybridMultilevel"/>
    <w:tmpl w:val="263AF9C4"/>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25695EC5"/>
    <w:multiLevelType w:val="hybridMultilevel"/>
    <w:tmpl w:val="2E2A787A"/>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29FC7510"/>
    <w:multiLevelType w:val="hybridMultilevel"/>
    <w:tmpl w:val="7C1E01D6"/>
    <w:lvl w:ilvl="0" w:tplc="04070017">
      <w:start w:val="1"/>
      <w:numFmt w:val="lowerLetter"/>
      <w:lvlText w:val="%1)"/>
      <w:lvlJc w:val="left"/>
      <w:pPr>
        <w:tabs>
          <w:tab w:val="num" w:pos="720"/>
        </w:tabs>
        <w:ind w:left="720" w:hanging="360"/>
      </w:pPr>
    </w:lvl>
    <w:lvl w:ilvl="1" w:tplc="D49614C6">
      <w:start w:val="3"/>
      <w:numFmt w:val="bullet"/>
      <w:lvlText w:val="-"/>
      <w:lvlJc w:val="left"/>
      <w:pPr>
        <w:ind w:left="1440" w:hanging="360"/>
      </w:pPr>
      <w:rPr>
        <w:rFonts w:ascii="Trebuchet MS" w:eastAsia="Times New Roman" w:hAnsi="Trebuchet MS"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FE407D7"/>
    <w:multiLevelType w:val="hybridMultilevel"/>
    <w:tmpl w:val="77E64A0C"/>
    <w:lvl w:ilvl="0" w:tplc="197E6944">
      <w:start w:val="1"/>
      <w:numFmt w:val="decimal"/>
      <w:lvlText w:val="%1."/>
      <w:lvlJc w:val="left"/>
      <w:pPr>
        <w:ind w:left="360" w:hanging="360"/>
      </w:pPr>
      <w:rPr>
        <w:color w:val="002060"/>
        <w:sz w:val="22"/>
        <w:szCs w:val="22"/>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30D50DE2"/>
    <w:multiLevelType w:val="hybridMultilevel"/>
    <w:tmpl w:val="2E2A787A"/>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37C700DC"/>
    <w:multiLevelType w:val="hybridMultilevel"/>
    <w:tmpl w:val="62A833BC"/>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39703D7A"/>
    <w:multiLevelType w:val="hybridMultilevel"/>
    <w:tmpl w:val="2E2A787A"/>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3" w15:restartNumberingAfterBreak="0">
    <w:nsid w:val="3EEF0567"/>
    <w:multiLevelType w:val="hybridMultilevel"/>
    <w:tmpl w:val="B5FC0356"/>
    <w:lvl w:ilvl="0" w:tplc="0C07000F">
      <w:start w:val="1"/>
      <w:numFmt w:val="decimal"/>
      <w:lvlText w:val="%1."/>
      <w:lvlJc w:val="left"/>
      <w:pPr>
        <w:ind w:left="7448"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490E52DC"/>
    <w:multiLevelType w:val="hybridMultilevel"/>
    <w:tmpl w:val="2E2A787A"/>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4DC72367"/>
    <w:multiLevelType w:val="hybridMultilevel"/>
    <w:tmpl w:val="7C1CD71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504A6427"/>
    <w:multiLevelType w:val="hybridMultilevel"/>
    <w:tmpl w:val="2E2A787A"/>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67B029BF"/>
    <w:multiLevelType w:val="hybridMultilevel"/>
    <w:tmpl w:val="2E2A787A"/>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8" w15:restartNumberingAfterBreak="0">
    <w:nsid w:val="756B6CFF"/>
    <w:multiLevelType w:val="hybridMultilevel"/>
    <w:tmpl w:val="2E2A787A"/>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75FD3CFD"/>
    <w:multiLevelType w:val="hybridMultilevel"/>
    <w:tmpl w:val="2E2A787A"/>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0" w15:restartNumberingAfterBreak="0">
    <w:nsid w:val="7957432E"/>
    <w:multiLevelType w:val="hybridMultilevel"/>
    <w:tmpl w:val="FEC45C3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16cid:durableId="1117332063">
    <w:abstractNumId w:val="2"/>
  </w:num>
  <w:num w:numId="2" w16cid:durableId="415327362">
    <w:abstractNumId w:val="5"/>
  </w:num>
  <w:num w:numId="3" w16cid:durableId="1635137946">
    <w:abstractNumId w:val="3"/>
  </w:num>
  <w:num w:numId="4" w16cid:durableId="1320765983">
    <w:abstractNumId w:val="8"/>
  </w:num>
  <w:num w:numId="5" w16cid:durableId="1374303968">
    <w:abstractNumId w:val="17"/>
  </w:num>
  <w:num w:numId="6" w16cid:durableId="1999915574">
    <w:abstractNumId w:val="18"/>
  </w:num>
  <w:num w:numId="7" w16cid:durableId="1181238427">
    <w:abstractNumId w:val="13"/>
  </w:num>
  <w:num w:numId="8" w16cid:durableId="842360632">
    <w:abstractNumId w:val="20"/>
  </w:num>
  <w:num w:numId="9" w16cid:durableId="508256028">
    <w:abstractNumId w:val="12"/>
  </w:num>
  <w:num w:numId="10" w16cid:durableId="232201873">
    <w:abstractNumId w:val="10"/>
  </w:num>
  <w:num w:numId="11" w16cid:durableId="1362047258">
    <w:abstractNumId w:val="9"/>
  </w:num>
  <w:num w:numId="12" w16cid:durableId="1780759819">
    <w:abstractNumId w:val="7"/>
  </w:num>
  <w:num w:numId="13" w16cid:durableId="509181848">
    <w:abstractNumId w:val="19"/>
  </w:num>
  <w:num w:numId="14" w16cid:durableId="942612904">
    <w:abstractNumId w:val="0"/>
  </w:num>
  <w:num w:numId="15" w16cid:durableId="1813331473">
    <w:abstractNumId w:val="4"/>
  </w:num>
  <w:num w:numId="16" w16cid:durableId="1697534891">
    <w:abstractNumId w:val="16"/>
  </w:num>
  <w:num w:numId="17" w16cid:durableId="552039096">
    <w:abstractNumId w:val="14"/>
  </w:num>
  <w:num w:numId="18" w16cid:durableId="1170216152">
    <w:abstractNumId w:val="1"/>
  </w:num>
  <w:num w:numId="19" w16cid:durableId="480848892">
    <w:abstractNumId w:val="11"/>
  </w:num>
  <w:num w:numId="20" w16cid:durableId="475757436">
    <w:abstractNumId w:val="6"/>
  </w:num>
  <w:num w:numId="21" w16cid:durableId="201760991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D9D"/>
    <w:rsid w:val="00000D31"/>
    <w:rsid w:val="00003F3D"/>
    <w:rsid w:val="000043CC"/>
    <w:rsid w:val="000077A7"/>
    <w:rsid w:val="00007D87"/>
    <w:rsid w:val="00007E75"/>
    <w:rsid w:val="00014C35"/>
    <w:rsid w:val="00015D13"/>
    <w:rsid w:val="00016D4F"/>
    <w:rsid w:val="0001739B"/>
    <w:rsid w:val="0002065C"/>
    <w:rsid w:val="00020822"/>
    <w:rsid w:val="0002212C"/>
    <w:rsid w:val="000221BD"/>
    <w:rsid w:val="00022824"/>
    <w:rsid w:val="00023241"/>
    <w:rsid w:val="000274B6"/>
    <w:rsid w:val="00027D67"/>
    <w:rsid w:val="00030332"/>
    <w:rsid w:val="000372D1"/>
    <w:rsid w:val="00041EB6"/>
    <w:rsid w:val="00043E90"/>
    <w:rsid w:val="000461B4"/>
    <w:rsid w:val="00046ECE"/>
    <w:rsid w:val="000509C5"/>
    <w:rsid w:val="00050BF1"/>
    <w:rsid w:val="0005115A"/>
    <w:rsid w:val="000534E0"/>
    <w:rsid w:val="00056586"/>
    <w:rsid w:val="00057C63"/>
    <w:rsid w:val="00060023"/>
    <w:rsid w:val="00066350"/>
    <w:rsid w:val="00067F48"/>
    <w:rsid w:val="00071021"/>
    <w:rsid w:val="00076C0E"/>
    <w:rsid w:val="00081603"/>
    <w:rsid w:val="00081DEC"/>
    <w:rsid w:val="000863D8"/>
    <w:rsid w:val="00086CCD"/>
    <w:rsid w:val="0008791E"/>
    <w:rsid w:val="00094DE5"/>
    <w:rsid w:val="000962B1"/>
    <w:rsid w:val="000A05C6"/>
    <w:rsid w:val="000A07F8"/>
    <w:rsid w:val="000A277B"/>
    <w:rsid w:val="000A3AC2"/>
    <w:rsid w:val="000A712B"/>
    <w:rsid w:val="000B5032"/>
    <w:rsid w:val="000C1FD0"/>
    <w:rsid w:val="000D1E76"/>
    <w:rsid w:val="000D2739"/>
    <w:rsid w:val="000D49C4"/>
    <w:rsid w:val="000D5706"/>
    <w:rsid w:val="000E2651"/>
    <w:rsid w:val="000E71F8"/>
    <w:rsid w:val="000E7E4E"/>
    <w:rsid w:val="000F00AB"/>
    <w:rsid w:val="000F02A9"/>
    <w:rsid w:val="000F0B83"/>
    <w:rsid w:val="000F0E4C"/>
    <w:rsid w:val="000F29A5"/>
    <w:rsid w:val="000F2FFC"/>
    <w:rsid w:val="000F331E"/>
    <w:rsid w:val="000F5331"/>
    <w:rsid w:val="000F695F"/>
    <w:rsid w:val="001009E9"/>
    <w:rsid w:val="0010419E"/>
    <w:rsid w:val="00105494"/>
    <w:rsid w:val="00105F3B"/>
    <w:rsid w:val="00106E27"/>
    <w:rsid w:val="00107ECB"/>
    <w:rsid w:val="00112608"/>
    <w:rsid w:val="001129A0"/>
    <w:rsid w:val="0011327E"/>
    <w:rsid w:val="0011573D"/>
    <w:rsid w:val="001169FA"/>
    <w:rsid w:val="00116B1D"/>
    <w:rsid w:val="00123859"/>
    <w:rsid w:val="00125191"/>
    <w:rsid w:val="00125730"/>
    <w:rsid w:val="00126298"/>
    <w:rsid w:val="0013167A"/>
    <w:rsid w:val="001321AC"/>
    <w:rsid w:val="00132BC7"/>
    <w:rsid w:val="00132D97"/>
    <w:rsid w:val="00142B18"/>
    <w:rsid w:val="00142EDA"/>
    <w:rsid w:val="00146633"/>
    <w:rsid w:val="00146A96"/>
    <w:rsid w:val="0015044D"/>
    <w:rsid w:val="00150BF5"/>
    <w:rsid w:val="0015251A"/>
    <w:rsid w:val="001619B2"/>
    <w:rsid w:val="0016375A"/>
    <w:rsid w:val="00164CDB"/>
    <w:rsid w:val="00165B59"/>
    <w:rsid w:val="00165E6A"/>
    <w:rsid w:val="001666B9"/>
    <w:rsid w:val="00170AF0"/>
    <w:rsid w:val="001712F2"/>
    <w:rsid w:val="00172AED"/>
    <w:rsid w:val="001730EA"/>
    <w:rsid w:val="001731FE"/>
    <w:rsid w:val="00174790"/>
    <w:rsid w:val="00176A58"/>
    <w:rsid w:val="00183449"/>
    <w:rsid w:val="001905E4"/>
    <w:rsid w:val="001913F3"/>
    <w:rsid w:val="0019440B"/>
    <w:rsid w:val="0019557D"/>
    <w:rsid w:val="001955B0"/>
    <w:rsid w:val="00195AF7"/>
    <w:rsid w:val="00196AF9"/>
    <w:rsid w:val="001B0B4A"/>
    <w:rsid w:val="001B1DDA"/>
    <w:rsid w:val="001B67DA"/>
    <w:rsid w:val="001C1160"/>
    <w:rsid w:val="001C37A4"/>
    <w:rsid w:val="001C6425"/>
    <w:rsid w:val="001D3827"/>
    <w:rsid w:val="001D38CA"/>
    <w:rsid w:val="001D4CB7"/>
    <w:rsid w:val="001D5144"/>
    <w:rsid w:val="001D53E7"/>
    <w:rsid w:val="001E1D3A"/>
    <w:rsid w:val="001E2DCC"/>
    <w:rsid w:val="001E346D"/>
    <w:rsid w:val="001F3B24"/>
    <w:rsid w:val="001F3CB7"/>
    <w:rsid w:val="001F5A2E"/>
    <w:rsid w:val="001F648B"/>
    <w:rsid w:val="001F75B6"/>
    <w:rsid w:val="00200D67"/>
    <w:rsid w:val="00202202"/>
    <w:rsid w:val="00205FEF"/>
    <w:rsid w:val="0021064B"/>
    <w:rsid w:val="00217499"/>
    <w:rsid w:val="00217DDB"/>
    <w:rsid w:val="00220D54"/>
    <w:rsid w:val="00223A29"/>
    <w:rsid w:val="00223EDC"/>
    <w:rsid w:val="00225502"/>
    <w:rsid w:val="00225A6B"/>
    <w:rsid w:val="00225F61"/>
    <w:rsid w:val="00227F23"/>
    <w:rsid w:val="002374C2"/>
    <w:rsid w:val="00240179"/>
    <w:rsid w:val="002409C5"/>
    <w:rsid w:val="00242191"/>
    <w:rsid w:val="00242596"/>
    <w:rsid w:val="00243442"/>
    <w:rsid w:val="00246A09"/>
    <w:rsid w:val="00252DD0"/>
    <w:rsid w:val="00252F76"/>
    <w:rsid w:val="00253EE2"/>
    <w:rsid w:val="0026073F"/>
    <w:rsid w:val="002669D0"/>
    <w:rsid w:val="002673B2"/>
    <w:rsid w:val="00267F0B"/>
    <w:rsid w:val="00273650"/>
    <w:rsid w:val="00274C2F"/>
    <w:rsid w:val="002763DE"/>
    <w:rsid w:val="00276489"/>
    <w:rsid w:val="002775C6"/>
    <w:rsid w:val="00277E95"/>
    <w:rsid w:val="00280A8A"/>
    <w:rsid w:val="00280ABD"/>
    <w:rsid w:val="00283C63"/>
    <w:rsid w:val="00284788"/>
    <w:rsid w:val="00284AE3"/>
    <w:rsid w:val="00287F44"/>
    <w:rsid w:val="002919B1"/>
    <w:rsid w:val="00292593"/>
    <w:rsid w:val="002936EE"/>
    <w:rsid w:val="002958C5"/>
    <w:rsid w:val="002A3C82"/>
    <w:rsid w:val="002A3D55"/>
    <w:rsid w:val="002A50E7"/>
    <w:rsid w:val="002A68FF"/>
    <w:rsid w:val="002A73A5"/>
    <w:rsid w:val="002A79A2"/>
    <w:rsid w:val="002B05B5"/>
    <w:rsid w:val="002B17A1"/>
    <w:rsid w:val="002B1F16"/>
    <w:rsid w:val="002B489C"/>
    <w:rsid w:val="002B4B89"/>
    <w:rsid w:val="002B4F12"/>
    <w:rsid w:val="002B5064"/>
    <w:rsid w:val="002B5EF2"/>
    <w:rsid w:val="002B6185"/>
    <w:rsid w:val="002C071B"/>
    <w:rsid w:val="002C45E4"/>
    <w:rsid w:val="002C4E68"/>
    <w:rsid w:val="002C5761"/>
    <w:rsid w:val="002C5F16"/>
    <w:rsid w:val="002C662A"/>
    <w:rsid w:val="002D3E7F"/>
    <w:rsid w:val="002D5457"/>
    <w:rsid w:val="002D5E00"/>
    <w:rsid w:val="002E0D42"/>
    <w:rsid w:val="002E1A58"/>
    <w:rsid w:val="002E2945"/>
    <w:rsid w:val="002E30B4"/>
    <w:rsid w:val="002E40AA"/>
    <w:rsid w:val="002E50B8"/>
    <w:rsid w:val="002E58B1"/>
    <w:rsid w:val="002E58FA"/>
    <w:rsid w:val="002F0ED0"/>
    <w:rsid w:val="002F186F"/>
    <w:rsid w:val="002F2352"/>
    <w:rsid w:val="002F2C86"/>
    <w:rsid w:val="002F3CA2"/>
    <w:rsid w:val="002F4669"/>
    <w:rsid w:val="002F6CFF"/>
    <w:rsid w:val="002F75F6"/>
    <w:rsid w:val="00301985"/>
    <w:rsid w:val="00303253"/>
    <w:rsid w:val="00303D0D"/>
    <w:rsid w:val="00307319"/>
    <w:rsid w:val="0032227E"/>
    <w:rsid w:val="003323E7"/>
    <w:rsid w:val="00336640"/>
    <w:rsid w:val="003416EA"/>
    <w:rsid w:val="00344ECB"/>
    <w:rsid w:val="003459EB"/>
    <w:rsid w:val="003463D5"/>
    <w:rsid w:val="00347C17"/>
    <w:rsid w:val="00354DAA"/>
    <w:rsid w:val="003554AE"/>
    <w:rsid w:val="003560F6"/>
    <w:rsid w:val="00356535"/>
    <w:rsid w:val="00357D25"/>
    <w:rsid w:val="0036029F"/>
    <w:rsid w:val="00363FB5"/>
    <w:rsid w:val="0036514E"/>
    <w:rsid w:val="003673A9"/>
    <w:rsid w:val="00370A77"/>
    <w:rsid w:val="00373A5B"/>
    <w:rsid w:val="00374729"/>
    <w:rsid w:val="003752E2"/>
    <w:rsid w:val="00376908"/>
    <w:rsid w:val="00385FC9"/>
    <w:rsid w:val="003902E2"/>
    <w:rsid w:val="0039238A"/>
    <w:rsid w:val="00392880"/>
    <w:rsid w:val="0039331A"/>
    <w:rsid w:val="0039378F"/>
    <w:rsid w:val="00396E17"/>
    <w:rsid w:val="00396EDE"/>
    <w:rsid w:val="003A2149"/>
    <w:rsid w:val="003A244C"/>
    <w:rsid w:val="003A44C1"/>
    <w:rsid w:val="003A61D2"/>
    <w:rsid w:val="003A7385"/>
    <w:rsid w:val="003B0356"/>
    <w:rsid w:val="003B3DAE"/>
    <w:rsid w:val="003B44BE"/>
    <w:rsid w:val="003B629B"/>
    <w:rsid w:val="003C5263"/>
    <w:rsid w:val="003C53A9"/>
    <w:rsid w:val="003E113E"/>
    <w:rsid w:val="003E2868"/>
    <w:rsid w:val="003E756D"/>
    <w:rsid w:val="003F401E"/>
    <w:rsid w:val="003F5D7F"/>
    <w:rsid w:val="003F5E73"/>
    <w:rsid w:val="003F7004"/>
    <w:rsid w:val="003F7C0D"/>
    <w:rsid w:val="0040000C"/>
    <w:rsid w:val="00403392"/>
    <w:rsid w:val="00404193"/>
    <w:rsid w:val="00405BE3"/>
    <w:rsid w:val="00406116"/>
    <w:rsid w:val="00407BF0"/>
    <w:rsid w:val="00413804"/>
    <w:rsid w:val="004178C2"/>
    <w:rsid w:val="004236C6"/>
    <w:rsid w:val="00423D6C"/>
    <w:rsid w:val="004251E9"/>
    <w:rsid w:val="00431436"/>
    <w:rsid w:val="00433181"/>
    <w:rsid w:val="00436921"/>
    <w:rsid w:val="00443391"/>
    <w:rsid w:val="00444890"/>
    <w:rsid w:val="00447CFC"/>
    <w:rsid w:val="004573F3"/>
    <w:rsid w:val="00457C77"/>
    <w:rsid w:val="0046260A"/>
    <w:rsid w:val="0046263E"/>
    <w:rsid w:val="00467C63"/>
    <w:rsid w:val="00470A9D"/>
    <w:rsid w:val="00470B46"/>
    <w:rsid w:val="00472101"/>
    <w:rsid w:val="0047421F"/>
    <w:rsid w:val="00476B8E"/>
    <w:rsid w:val="00477863"/>
    <w:rsid w:val="00481F26"/>
    <w:rsid w:val="00482CA3"/>
    <w:rsid w:val="00482E4B"/>
    <w:rsid w:val="00483AD3"/>
    <w:rsid w:val="00487180"/>
    <w:rsid w:val="004901C7"/>
    <w:rsid w:val="00491F07"/>
    <w:rsid w:val="004921B5"/>
    <w:rsid w:val="004938BC"/>
    <w:rsid w:val="00493D2B"/>
    <w:rsid w:val="00496DC9"/>
    <w:rsid w:val="0049794D"/>
    <w:rsid w:val="004A2156"/>
    <w:rsid w:val="004A3282"/>
    <w:rsid w:val="004A6318"/>
    <w:rsid w:val="004B1424"/>
    <w:rsid w:val="004B15F6"/>
    <w:rsid w:val="004B1AE2"/>
    <w:rsid w:val="004B61B9"/>
    <w:rsid w:val="004B6F3C"/>
    <w:rsid w:val="004B7D84"/>
    <w:rsid w:val="004C3414"/>
    <w:rsid w:val="004C359C"/>
    <w:rsid w:val="004C6FD5"/>
    <w:rsid w:val="004D01D7"/>
    <w:rsid w:val="004D1134"/>
    <w:rsid w:val="004D1406"/>
    <w:rsid w:val="004D2E31"/>
    <w:rsid w:val="004D4277"/>
    <w:rsid w:val="004D7B20"/>
    <w:rsid w:val="004E0066"/>
    <w:rsid w:val="004E0DAC"/>
    <w:rsid w:val="004E0ED9"/>
    <w:rsid w:val="004E203E"/>
    <w:rsid w:val="004E33FD"/>
    <w:rsid w:val="004E4C99"/>
    <w:rsid w:val="004F317B"/>
    <w:rsid w:val="004F36E8"/>
    <w:rsid w:val="004F3A3F"/>
    <w:rsid w:val="004F76AB"/>
    <w:rsid w:val="00500063"/>
    <w:rsid w:val="00500B2D"/>
    <w:rsid w:val="00505139"/>
    <w:rsid w:val="00505846"/>
    <w:rsid w:val="005058D4"/>
    <w:rsid w:val="0050645E"/>
    <w:rsid w:val="00506E11"/>
    <w:rsid w:val="00507FEB"/>
    <w:rsid w:val="00517FCB"/>
    <w:rsid w:val="0052305E"/>
    <w:rsid w:val="00525530"/>
    <w:rsid w:val="005307AD"/>
    <w:rsid w:val="00530F31"/>
    <w:rsid w:val="00533D9D"/>
    <w:rsid w:val="00534093"/>
    <w:rsid w:val="00537F93"/>
    <w:rsid w:val="00540ADE"/>
    <w:rsid w:val="00541EDA"/>
    <w:rsid w:val="0054316C"/>
    <w:rsid w:val="00544E9F"/>
    <w:rsid w:val="0055267E"/>
    <w:rsid w:val="00553743"/>
    <w:rsid w:val="00553823"/>
    <w:rsid w:val="005615AD"/>
    <w:rsid w:val="00562FFE"/>
    <w:rsid w:val="00564837"/>
    <w:rsid w:val="00567816"/>
    <w:rsid w:val="00570790"/>
    <w:rsid w:val="00573134"/>
    <w:rsid w:val="00574E41"/>
    <w:rsid w:val="00575ABC"/>
    <w:rsid w:val="005765D8"/>
    <w:rsid w:val="005800D4"/>
    <w:rsid w:val="005826DB"/>
    <w:rsid w:val="00582F94"/>
    <w:rsid w:val="00583BF0"/>
    <w:rsid w:val="00583F4D"/>
    <w:rsid w:val="005846B1"/>
    <w:rsid w:val="00587C53"/>
    <w:rsid w:val="00594629"/>
    <w:rsid w:val="0059583A"/>
    <w:rsid w:val="005A1948"/>
    <w:rsid w:val="005A3734"/>
    <w:rsid w:val="005A45A8"/>
    <w:rsid w:val="005A5267"/>
    <w:rsid w:val="005A6AB2"/>
    <w:rsid w:val="005A73BC"/>
    <w:rsid w:val="005A7517"/>
    <w:rsid w:val="005B1E88"/>
    <w:rsid w:val="005B2A5F"/>
    <w:rsid w:val="005B3A7D"/>
    <w:rsid w:val="005B5A34"/>
    <w:rsid w:val="005B6A22"/>
    <w:rsid w:val="005B6E45"/>
    <w:rsid w:val="005C1E2A"/>
    <w:rsid w:val="005C439B"/>
    <w:rsid w:val="005C51C4"/>
    <w:rsid w:val="005C7B74"/>
    <w:rsid w:val="005E6672"/>
    <w:rsid w:val="005F09C0"/>
    <w:rsid w:val="005F10AD"/>
    <w:rsid w:val="005F1A95"/>
    <w:rsid w:val="005F2029"/>
    <w:rsid w:val="005F489F"/>
    <w:rsid w:val="00601584"/>
    <w:rsid w:val="00602CA0"/>
    <w:rsid w:val="00603DFE"/>
    <w:rsid w:val="00610494"/>
    <w:rsid w:val="00610615"/>
    <w:rsid w:val="0061161B"/>
    <w:rsid w:val="006178C0"/>
    <w:rsid w:val="00621017"/>
    <w:rsid w:val="006218A0"/>
    <w:rsid w:val="00621E0B"/>
    <w:rsid w:val="00622C54"/>
    <w:rsid w:val="00622CC9"/>
    <w:rsid w:val="00631662"/>
    <w:rsid w:val="0063405A"/>
    <w:rsid w:val="00634B31"/>
    <w:rsid w:val="006354C8"/>
    <w:rsid w:val="0063682A"/>
    <w:rsid w:val="00640B9C"/>
    <w:rsid w:val="006415A2"/>
    <w:rsid w:val="006447DB"/>
    <w:rsid w:val="006452A2"/>
    <w:rsid w:val="00645D87"/>
    <w:rsid w:val="006468BC"/>
    <w:rsid w:val="00646A40"/>
    <w:rsid w:val="00647535"/>
    <w:rsid w:val="00647640"/>
    <w:rsid w:val="00647F98"/>
    <w:rsid w:val="00651B5A"/>
    <w:rsid w:val="00651EC9"/>
    <w:rsid w:val="00652BBC"/>
    <w:rsid w:val="00653086"/>
    <w:rsid w:val="006552C5"/>
    <w:rsid w:val="00655C67"/>
    <w:rsid w:val="006619A5"/>
    <w:rsid w:val="006719B9"/>
    <w:rsid w:val="00672F9B"/>
    <w:rsid w:val="00673A74"/>
    <w:rsid w:val="00675347"/>
    <w:rsid w:val="0068012D"/>
    <w:rsid w:val="00684CE5"/>
    <w:rsid w:val="00690C13"/>
    <w:rsid w:val="00693136"/>
    <w:rsid w:val="006A2A28"/>
    <w:rsid w:val="006A2AF9"/>
    <w:rsid w:val="006A77B4"/>
    <w:rsid w:val="006B0112"/>
    <w:rsid w:val="006B2012"/>
    <w:rsid w:val="006B5F80"/>
    <w:rsid w:val="006C501F"/>
    <w:rsid w:val="006D05DB"/>
    <w:rsid w:val="006D27AA"/>
    <w:rsid w:val="006D27D2"/>
    <w:rsid w:val="006D37D8"/>
    <w:rsid w:val="006E4FE9"/>
    <w:rsid w:val="006E56A4"/>
    <w:rsid w:val="006F1C64"/>
    <w:rsid w:val="006F3B08"/>
    <w:rsid w:val="006F3C90"/>
    <w:rsid w:val="00700F88"/>
    <w:rsid w:val="0070204E"/>
    <w:rsid w:val="007039DC"/>
    <w:rsid w:val="007054AB"/>
    <w:rsid w:val="00705EB1"/>
    <w:rsid w:val="00707623"/>
    <w:rsid w:val="0071072D"/>
    <w:rsid w:val="00710BF0"/>
    <w:rsid w:val="00712969"/>
    <w:rsid w:val="00715ABA"/>
    <w:rsid w:val="00715D2A"/>
    <w:rsid w:val="007164D9"/>
    <w:rsid w:val="00720C9F"/>
    <w:rsid w:val="0072463D"/>
    <w:rsid w:val="00730B1E"/>
    <w:rsid w:val="007329B3"/>
    <w:rsid w:val="007353D8"/>
    <w:rsid w:val="00735FB7"/>
    <w:rsid w:val="00736B03"/>
    <w:rsid w:val="00741935"/>
    <w:rsid w:val="007436E0"/>
    <w:rsid w:val="007458EB"/>
    <w:rsid w:val="00753212"/>
    <w:rsid w:val="00754ECC"/>
    <w:rsid w:val="007556D8"/>
    <w:rsid w:val="00756112"/>
    <w:rsid w:val="00757554"/>
    <w:rsid w:val="007626E3"/>
    <w:rsid w:val="00767948"/>
    <w:rsid w:val="007734F2"/>
    <w:rsid w:val="00775F14"/>
    <w:rsid w:val="00777A59"/>
    <w:rsid w:val="00780295"/>
    <w:rsid w:val="007807AE"/>
    <w:rsid w:val="007808E3"/>
    <w:rsid w:val="00781D5E"/>
    <w:rsid w:val="00781FB4"/>
    <w:rsid w:val="00782673"/>
    <w:rsid w:val="007835BA"/>
    <w:rsid w:val="00783E8F"/>
    <w:rsid w:val="00784F4A"/>
    <w:rsid w:val="00785089"/>
    <w:rsid w:val="007859A2"/>
    <w:rsid w:val="00786624"/>
    <w:rsid w:val="0078683E"/>
    <w:rsid w:val="00790814"/>
    <w:rsid w:val="00796278"/>
    <w:rsid w:val="0079630A"/>
    <w:rsid w:val="007A014B"/>
    <w:rsid w:val="007A718F"/>
    <w:rsid w:val="007A78CA"/>
    <w:rsid w:val="007B269B"/>
    <w:rsid w:val="007B3017"/>
    <w:rsid w:val="007B364C"/>
    <w:rsid w:val="007B36E1"/>
    <w:rsid w:val="007B4726"/>
    <w:rsid w:val="007B5C7A"/>
    <w:rsid w:val="007C1BBD"/>
    <w:rsid w:val="007C2A52"/>
    <w:rsid w:val="007C60E9"/>
    <w:rsid w:val="007D2957"/>
    <w:rsid w:val="007D660B"/>
    <w:rsid w:val="007E043A"/>
    <w:rsid w:val="007E0BA7"/>
    <w:rsid w:val="007E1370"/>
    <w:rsid w:val="007E2AA2"/>
    <w:rsid w:val="007E31AC"/>
    <w:rsid w:val="007E4258"/>
    <w:rsid w:val="007E5065"/>
    <w:rsid w:val="007E5502"/>
    <w:rsid w:val="007E57A7"/>
    <w:rsid w:val="007F1365"/>
    <w:rsid w:val="007F1CA8"/>
    <w:rsid w:val="007F38CF"/>
    <w:rsid w:val="007F7DCF"/>
    <w:rsid w:val="008026D6"/>
    <w:rsid w:val="00804B65"/>
    <w:rsid w:val="00804C83"/>
    <w:rsid w:val="00805081"/>
    <w:rsid w:val="00807652"/>
    <w:rsid w:val="00813B00"/>
    <w:rsid w:val="00816276"/>
    <w:rsid w:val="008167A4"/>
    <w:rsid w:val="00821312"/>
    <w:rsid w:val="00825D4E"/>
    <w:rsid w:val="00825EBA"/>
    <w:rsid w:val="00827C60"/>
    <w:rsid w:val="008320C7"/>
    <w:rsid w:val="00832F25"/>
    <w:rsid w:val="00836A8F"/>
    <w:rsid w:val="008405A8"/>
    <w:rsid w:val="008413F2"/>
    <w:rsid w:val="00842035"/>
    <w:rsid w:val="00842139"/>
    <w:rsid w:val="008430B1"/>
    <w:rsid w:val="00843EDF"/>
    <w:rsid w:val="00844CA7"/>
    <w:rsid w:val="00847134"/>
    <w:rsid w:val="00851C89"/>
    <w:rsid w:val="008533A2"/>
    <w:rsid w:val="0085427E"/>
    <w:rsid w:val="00861E85"/>
    <w:rsid w:val="00861EE3"/>
    <w:rsid w:val="008644EB"/>
    <w:rsid w:val="00867289"/>
    <w:rsid w:val="00871327"/>
    <w:rsid w:val="00877C01"/>
    <w:rsid w:val="008816F5"/>
    <w:rsid w:val="00882750"/>
    <w:rsid w:val="00885331"/>
    <w:rsid w:val="00885CD3"/>
    <w:rsid w:val="00886719"/>
    <w:rsid w:val="00886914"/>
    <w:rsid w:val="008879C2"/>
    <w:rsid w:val="00887C4F"/>
    <w:rsid w:val="00887FE9"/>
    <w:rsid w:val="00891855"/>
    <w:rsid w:val="00892036"/>
    <w:rsid w:val="008931C1"/>
    <w:rsid w:val="008A057D"/>
    <w:rsid w:val="008A0876"/>
    <w:rsid w:val="008A3397"/>
    <w:rsid w:val="008A36F7"/>
    <w:rsid w:val="008B0D3F"/>
    <w:rsid w:val="008B557E"/>
    <w:rsid w:val="008B55F3"/>
    <w:rsid w:val="008C3BEA"/>
    <w:rsid w:val="008C6A8C"/>
    <w:rsid w:val="008C7EE0"/>
    <w:rsid w:val="008D3DB7"/>
    <w:rsid w:val="008D453A"/>
    <w:rsid w:val="008D7717"/>
    <w:rsid w:val="008E0DBA"/>
    <w:rsid w:val="008F0921"/>
    <w:rsid w:val="008F0A92"/>
    <w:rsid w:val="009001FE"/>
    <w:rsid w:val="009026D8"/>
    <w:rsid w:val="00905C37"/>
    <w:rsid w:val="00907C35"/>
    <w:rsid w:val="00911918"/>
    <w:rsid w:val="00911AA7"/>
    <w:rsid w:val="0091219C"/>
    <w:rsid w:val="00913029"/>
    <w:rsid w:val="00913D0C"/>
    <w:rsid w:val="00915D9C"/>
    <w:rsid w:val="009200F6"/>
    <w:rsid w:val="00920B69"/>
    <w:rsid w:val="00920CF7"/>
    <w:rsid w:val="009217D6"/>
    <w:rsid w:val="0092471C"/>
    <w:rsid w:val="00931CED"/>
    <w:rsid w:val="00933C7D"/>
    <w:rsid w:val="00934A03"/>
    <w:rsid w:val="00936D22"/>
    <w:rsid w:val="00940A0A"/>
    <w:rsid w:val="0095046D"/>
    <w:rsid w:val="00953E80"/>
    <w:rsid w:val="00954185"/>
    <w:rsid w:val="0095425C"/>
    <w:rsid w:val="00954F39"/>
    <w:rsid w:val="009576AE"/>
    <w:rsid w:val="0096054A"/>
    <w:rsid w:val="00961A18"/>
    <w:rsid w:val="00961FB4"/>
    <w:rsid w:val="009646F6"/>
    <w:rsid w:val="00964F22"/>
    <w:rsid w:val="0096538C"/>
    <w:rsid w:val="009714D0"/>
    <w:rsid w:val="009725D4"/>
    <w:rsid w:val="0097445D"/>
    <w:rsid w:val="00974A5D"/>
    <w:rsid w:val="00975091"/>
    <w:rsid w:val="0097769F"/>
    <w:rsid w:val="00977C90"/>
    <w:rsid w:val="00982D12"/>
    <w:rsid w:val="00983350"/>
    <w:rsid w:val="00984954"/>
    <w:rsid w:val="00985912"/>
    <w:rsid w:val="00985BB6"/>
    <w:rsid w:val="009905BD"/>
    <w:rsid w:val="009915A8"/>
    <w:rsid w:val="0099290D"/>
    <w:rsid w:val="00995184"/>
    <w:rsid w:val="00997B85"/>
    <w:rsid w:val="009A0F7E"/>
    <w:rsid w:val="009A1DCE"/>
    <w:rsid w:val="009A3C33"/>
    <w:rsid w:val="009A4755"/>
    <w:rsid w:val="009A5D72"/>
    <w:rsid w:val="009A7937"/>
    <w:rsid w:val="009B252F"/>
    <w:rsid w:val="009B2A89"/>
    <w:rsid w:val="009B3E6A"/>
    <w:rsid w:val="009B4F05"/>
    <w:rsid w:val="009B55E9"/>
    <w:rsid w:val="009C0AD9"/>
    <w:rsid w:val="009C3844"/>
    <w:rsid w:val="009C6AFF"/>
    <w:rsid w:val="009C74A7"/>
    <w:rsid w:val="009D13F4"/>
    <w:rsid w:val="009D5416"/>
    <w:rsid w:val="009E020B"/>
    <w:rsid w:val="009E0777"/>
    <w:rsid w:val="009E28CF"/>
    <w:rsid w:val="009E3826"/>
    <w:rsid w:val="009E5380"/>
    <w:rsid w:val="009E6453"/>
    <w:rsid w:val="009F063D"/>
    <w:rsid w:val="009F0DB6"/>
    <w:rsid w:val="009F2163"/>
    <w:rsid w:val="009F33F3"/>
    <w:rsid w:val="009F384D"/>
    <w:rsid w:val="009F453B"/>
    <w:rsid w:val="00A02EF5"/>
    <w:rsid w:val="00A04369"/>
    <w:rsid w:val="00A04569"/>
    <w:rsid w:val="00A06A73"/>
    <w:rsid w:val="00A06BD4"/>
    <w:rsid w:val="00A12D18"/>
    <w:rsid w:val="00A131AE"/>
    <w:rsid w:val="00A1323E"/>
    <w:rsid w:val="00A14BB4"/>
    <w:rsid w:val="00A16A30"/>
    <w:rsid w:val="00A174F8"/>
    <w:rsid w:val="00A2117C"/>
    <w:rsid w:val="00A22508"/>
    <w:rsid w:val="00A22EA6"/>
    <w:rsid w:val="00A235A5"/>
    <w:rsid w:val="00A25655"/>
    <w:rsid w:val="00A25BF3"/>
    <w:rsid w:val="00A33C02"/>
    <w:rsid w:val="00A34825"/>
    <w:rsid w:val="00A34AFB"/>
    <w:rsid w:val="00A43E0F"/>
    <w:rsid w:val="00A44AC2"/>
    <w:rsid w:val="00A4756A"/>
    <w:rsid w:val="00A47990"/>
    <w:rsid w:val="00A509F6"/>
    <w:rsid w:val="00A51BC0"/>
    <w:rsid w:val="00A54C7B"/>
    <w:rsid w:val="00A6153B"/>
    <w:rsid w:val="00A6163C"/>
    <w:rsid w:val="00A61F77"/>
    <w:rsid w:val="00A62E6E"/>
    <w:rsid w:val="00A64E45"/>
    <w:rsid w:val="00A65A37"/>
    <w:rsid w:val="00A72DF7"/>
    <w:rsid w:val="00A7737F"/>
    <w:rsid w:val="00A77B7E"/>
    <w:rsid w:val="00A82B45"/>
    <w:rsid w:val="00A900C8"/>
    <w:rsid w:val="00A90AF1"/>
    <w:rsid w:val="00A91968"/>
    <w:rsid w:val="00A91AB0"/>
    <w:rsid w:val="00AA57E4"/>
    <w:rsid w:val="00AA7517"/>
    <w:rsid w:val="00AB1F39"/>
    <w:rsid w:val="00AB619B"/>
    <w:rsid w:val="00AC103C"/>
    <w:rsid w:val="00AC1B03"/>
    <w:rsid w:val="00AD1107"/>
    <w:rsid w:val="00AD15A5"/>
    <w:rsid w:val="00AD50B8"/>
    <w:rsid w:val="00AD5186"/>
    <w:rsid w:val="00AD7ABE"/>
    <w:rsid w:val="00AE084E"/>
    <w:rsid w:val="00AE0E0B"/>
    <w:rsid w:val="00AE69C5"/>
    <w:rsid w:val="00AE6AE9"/>
    <w:rsid w:val="00AE777A"/>
    <w:rsid w:val="00AF1346"/>
    <w:rsid w:val="00AF2E28"/>
    <w:rsid w:val="00AF3268"/>
    <w:rsid w:val="00AF32C5"/>
    <w:rsid w:val="00AF790F"/>
    <w:rsid w:val="00B00720"/>
    <w:rsid w:val="00B029A4"/>
    <w:rsid w:val="00B07B31"/>
    <w:rsid w:val="00B1412C"/>
    <w:rsid w:val="00B16270"/>
    <w:rsid w:val="00B162BA"/>
    <w:rsid w:val="00B1665A"/>
    <w:rsid w:val="00B17DC9"/>
    <w:rsid w:val="00B203D6"/>
    <w:rsid w:val="00B22AA1"/>
    <w:rsid w:val="00B23A39"/>
    <w:rsid w:val="00B26C47"/>
    <w:rsid w:val="00B3116A"/>
    <w:rsid w:val="00B343F4"/>
    <w:rsid w:val="00B37069"/>
    <w:rsid w:val="00B37F02"/>
    <w:rsid w:val="00B464BB"/>
    <w:rsid w:val="00B46FCD"/>
    <w:rsid w:val="00B53B22"/>
    <w:rsid w:val="00B55D66"/>
    <w:rsid w:val="00B55FD8"/>
    <w:rsid w:val="00B576FF"/>
    <w:rsid w:val="00B60496"/>
    <w:rsid w:val="00B61107"/>
    <w:rsid w:val="00B637B6"/>
    <w:rsid w:val="00B63F32"/>
    <w:rsid w:val="00B65030"/>
    <w:rsid w:val="00B651BB"/>
    <w:rsid w:val="00B65B9B"/>
    <w:rsid w:val="00B75F26"/>
    <w:rsid w:val="00B77A08"/>
    <w:rsid w:val="00B81F9E"/>
    <w:rsid w:val="00B82556"/>
    <w:rsid w:val="00B83801"/>
    <w:rsid w:val="00B83CDC"/>
    <w:rsid w:val="00B86B71"/>
    <w:rsid w:val="00B87EE2"/>
    <w:rsid w:val="00B90343"/>
    <w:rsid w:val="00B9101C"/>
    <w:rsid w:val="00B9214F"/>
    <w:rsid w:val="00B9290D"/>
    <w:rsid w:val="00B96E3F"/>
    <w:rsid w:val="00BA010D"/>
    <w:rsid w:val="00BA7212"/>
    <w:rsid w:val="00BC2E55"/>
    <w:rsid w:val="00BC586F"/>
    <w:rsid w:val="00BC5B46"/>
    <w:rsid w:val="00BC6E9F"/>
    <w:rsid w:val="00BD761D"/>
    <w:rsid w:val="00BE1336"/>
    <w:rsid w:val="00BE13CA"/>
    <w:rsid w:val="00BE436D"/>
    <w:rsid w:val="00BE6CFF"/>
    <w:rsid w:val="00BF0466"/>
    <w:rsid w:val="00BF3B2F"/>
    <w:rsid w:val="00BF3D7B"/>
    <w:rsid w:val="00BF4B4E"/>
    <w:rsid w:val="00BF5DF4"/>
    <w:rsid w:val="00C01EA6"/>
    <w:rsid w:val="00C02C18"/>
    <w:rsid w:val="00C04A01"/>
    <w:rsid w:val="00C064F9"/>
    <w:rsid w:val="00C11127"/>
    <w:rsid w:val="00C139BE"/>
    <w:rsid w:val="00C146B1"/>
    <w:rsid w:val="00C15E3B"/>
    <w:rsid w:val="00C167C0"/>
    <w:rsid w:val="00C20034"/>
    <w:rsid w:val="00C200E9"/>
    <w:rsid w:val="00C21353"/>
    <w:rsid w:val="00C21A8D"/>
    <w:rsid w:val="00C224B0"/>
    <w:rsid w:val="00C23507"/>
    <w:rsid w:val="00C238DD"/>
    <w:rsid w:val="00C24386"/>
    <w:rsid w:val="00C25295"/>
    <w:rsid w:val="00C320B6"/>
    <w:rsid w:val="00C34F96"/>
    <w:rsid w:val="00C35775"/>
    <w:rsid w:val="00C36568"/>
    <w:rsid w:val="00C368E3"/>
    <w:rsid w:val="00C47184"/>
    <w:rsid w:val="00C50C8D"/>
    <w:rsid w:val="00C53531"/>
    <w:rsid w:val="00C57459"/>
    <w:rsid w:val="00C57F45"/>
    <w:rsid w:val="00C602ED"/>
    <w:rsid w:val="00C61B4F"/>
    <w:rsid w:val="00C62A58"/>
    <w:rsid w:val="00C661D8"/>
    <w:rsid w:val="00C679A4"/>
    <w:rsid w:val="00C67D6B"/>
    <w:rsid w:val="00C7161A"/>
    <w:rsid w:val="00C7200D"/>
    <w:rsid w:val="00C73BB5"/>
    <w:rsid w:val="00C75496"/>
    <w:rsid w:val="00C7710B"/>
    <w:rsid w:val="00C80990"/>
    <w:rsid w:val="00C827F4"/>
    <w:rsid w:val="00C8427B"/>
    <w:rsid w:val="00C867EB"/>
    <w:rsid w:val="00C92E64"/>
    <w:rsid w:val="00C94728"/>
    <w:rsid w:val="00C948CD"/>
    <w:rsid w:val="00C97454"/>
    <w:rsid w:val="00CA516F"/>
    <w:rsid w:val="00CA56A5"/>
    <w:rsid w:val="00CB39D6"/>
    <w:rsid w:val="00CB638F"/>
    <w:rsid w:val="00CC0966"/>
    <w:rsid w:val="00CC0E71"/>
    <w:rsid w:val="00CC12B4"/>
    <w:rsid w:val="00CC3D39"/>
    <w:rsid w:val="00CC3D85"/>
    <w:rsid w:val="00CC767D"/>
    <w:rsid w:val="00CC7E44"/>
    <w:rsid w:val="00CD4C61"/>
    <w:rsid w:val="00CE3159"/>
    <w:rsid w:val="00CE62A1"/>
    <w:rsid w:val="00CF5BC7"/>
    <w:rsid w:val="00D0537B"/>
    <w:rsid w:val="00D10EE1"/>
    <w:rsid w:val="00D12928"/>
    <w:rsid w:val="00D1408F"/>
    <w:rsid w:val="00D14DF2"/>
    <w:rsid w:val="00D16406"/>
    <w:rsid w:val="00D16C89"/>
    <w:rsid w:val="00D17893"/>
    <w:rsid w:val="00D20968"/>
    <w:rsid w:val="00D21D22"/>
    <w:rsid w:val="00D2398D"/>
    <w:rsid w:val="00D23C81"/>
    <w:rsid w:val="00D243F9"/>
    <w:rsid w:val="00D2500A"/>
    <w:rsid w:val="00D2666E"/>
    <w:rsid w:val="00D41AC1"/>
    <w:rsid w:val="00D42091"/>
    <w:rsid w:val="00D42657"/>
    <w:rsid w:val="00D434EE"/>
    <w:rsid w:val="00D51045"/>
    <w:rsid w:val="00D52CE8"/>
    <w:rsid w:val="00D54E56"/>
    <w:rsid w:val="00D5573A"/>
    <w:rsid w:val="00D559B6"/>
    <w:rsid w:val="00D55F44"/>
    <w:rsid w:val="00D61730"/>
    <w:rsid w:val="00D626F9"/>
    <w:rsid w:val="00D65AA1"/>
    <w:rsid w:val="00D67636"/>
    <w:rsid w:val="00D6799C"/>
    <w:rsid w:val="00D70632"/>
    <w:rsid w:val="00D72569"/>
    <w:rsid w:val="00D72B39"/>
    <w:rsid w:val="00D73690"/>
    <w:rsid w:val="00D73E14"/>
    <w:rsid w:val="00D74DD6"/>
    <w:rsid w:val="00D7599C"/>
    <w:rsid w:val="00D768F2"/>
    <w:rsid w:val="00D772C6"/>
    <w:rsid w:val="00D80BA7"/>
    <w:rsid w:val="00D810FB"/>
    <w:rsid w:val="00D81A8C"/>
    <w:rsid w:val="00D81ECA"/>
    <w:rsid w:val="00D85E12"/>
    <w:rsid w:val="00D86246"/>
    <w:rsid w:val="00D9724C"/>
    <w:rsid w:val="00DA0093"/>
    <w:rsid w:val="00DA0726"/>
    <w:rsid w:val="00DB2494"/>
    <w:rsid w:val="00DB27FA"/>
    <w:rsid w:val="00DB325C"/>
    <w:rsid w:val="00DB3317"/>
    <w:rsid w:val="00DB38B1"/>
    <w:rsid w:val="00DB69E9"/>
    <w:rsid w:val="00DC0307"/>
    <w:rsid w:val="00DC1AEF"/>
    <w:rsid w:val="00DC47E0"/>
    <w:rsid w:val="00DC4D8B"/>
    <w:rsid w:val="00DC5402"/>
    <w:rsid w:val="00DC68AF"/>
    <w:rsid w:val="00DC740E"/>
    <w:rsid w:val="00DD0009"/>
    <w:rsid w:val="00DD0C24"/>
    <w:rsid w:val="00DD465A"/>
    <w:rsid w:val="00DD6E03"/>
    <w:rsid w:val="00DF463C"/>
    <w:rsid w:val="00DF65A3"/>
    <w:rsid w:val="00DF75F8"/>
    <w:rsid w:val="00E01AEC"/>
    <w:rsid w:val="00E035F0"/>
    <w:rsid w:val="00E05556"/>
    <w:rsid w:val="00E055C7"/>
    <w:rsid w:val="00E105B8"/>
    <w:rsid w:val="00E110C1"/>
    <w:rsid w:val="00E111AD"/>
    <w:rsid w:val="00E11A7C"/>
    <w:rsid w:val="00E1429E"/>
    <w:rsid w:val="00E16276"/>
    <w:rsid w:val="00E163EC"/>
    <w:rsid w:val="00E208F0"/>
    <w:rsid w:val="00E22141"/>
    <w:rsid w:val="00E24090"/>
    <w:rsid w:val="00E30560"/>
    <w:rsid w:val="00E31AF5"/>
    <w:rsid w:val="00E31BB8"/>
    <w:rsid w:val="00E31E93"/>
    <w:rsid w:val="00E3245C"/>
    <w:rsid w:val="00E339B2"/>
    <w:rsid w:val="00E37411"/>
    <w:rsid w:val="00E42B45"/>
    <w:rsid w:val="00E46CE7"/>
    <w:rsid w:val="00E472C9"/>
    <w:rsid w:val="00E47713"/>
    <w:rsid w:val="00E47C02"/>
    <w:rsid w:val="00E50020"/>
    <w:rsid w:val="00E50144"/>
    <w:rsid w:val="00E517F3"/>
    <w:rsid w:val="00E54316"/>
    <w:rsid w:val="00E56B78"/>
    <w:rsid w:val="00E6174F"/>
    <w:rsid w:val="00E61922"/>
    <w:rsid w:val="00E622CA"/>
    <w:rsid w:val="00E66342"/>
    <w:rsid w:val="00E66997"/>
    <w:rsid w:val="00E71DDB"/>
    <w:rsid w:val="00E73B2C"/>
    <w:rsid w:val="00E73CAA"/>
    <w:rsid w:val="00E77A01"/>
    <w:rsid w:val="00E8382A"/>
    <w:rsid w:val="00E838E2"/>
    <w:rsid w:val="00E86E34"/>
    <w:rsid w:val="00E87E84"/>
    <w:rsid w:val="00E913B8"/>
    <w:rsid w:val="00E929F4"/>
    <w:rsid w:val="00E9390D"/>
    <w:rsid w:val="00E94F2D"/>
    <w:rsid w:val="00E954EB"/>
    <w:rsid w:val="00E960E5"/>
    <w:rsid w:val="00E97437"/>
    <w:rsid w:val="00E97811"/>
    <w:rsid w:val="00EA1710"/>
    <w:rsid w:val="00EA17BB"/>
    <w:rsid w:val="00EA3519"/>
    <w:rsid w:val="00EA4C1A"/>
    <w:rsid w:val="00EA5097"/>
    <w:rsid w:val="00EA702E"/>
    <w:rsid w:val="00EB0F2D"/>
    <w:rsid w:val="00EB279D"/>
    <w:rsid w:val="00EB4EAD"/>
    <w:rsid w:val="00EC1D2C"/>
    <w:rsid w:val="00EC25C9"/>
    <w:rsid w:val="00EC2C37"/>
    <w:rsid w:val="00EC36D2"/>
    <w:rsid w:val="00EC7148"/>
    <w:rsid w:val="00EC7252"/>
    <w:rsid w:val="00ED1699"/>
    <w:rsid w:val="00ED18CD"/>
    <w:rsid w:val="00ED1AF3"/>
    <w:rsid w:val="00ED4C6B"/>
    <w:rsid w:val="00ED755C"/>
    <w:rsid w:val="00EE1F6E"/>
    <w:rsid w:val="00EE2B27"/>
    <w:rsid w:val="00EE2CAF"/>
    <w:rsid w:val="00EE7007"/>
    <w:rsid w:val="00EF3053"/>
    <w:rsid w:val="00EF3C8D"/>
    <w:rsid w:val="00EF4B95"/>
    <w:rsid w:val="00EF4BBB"/>
    <w:rsid w:val="00EF5AE7"/>
    <w:rsid w:val="00F00B27"/>
    <w:rsid w:val="00F011E9"/>
    <w:rsid w:val="00F0149E"/>
    <w:rsid w:val="00F0241A"/>
    <w:rsid w:val="00F0611C"/>
    <w:rsid w:val="00F06B4B"/>
    <w:rsid w:val="00F10426"/>
    <w:rsid w:val="00F1066A"/>
    <w:rsid w:val="00F123D1"/>
    <w:rsid w:val="00F12BC2"/>
    <w:rsid w:val="00F132AA"/>
    <w:rsid w:val="00F138DA"/>
    <w:rsid w:val="00F142B8"/>
    <w:rsid w:val="00F154E8"/>
    <w:rsid w:val="00F16C51"/>
    <w:rsid w:val="00F2350D"/>
    <w:rsid w:val="00F23E93"/>
    <w:rsid w:val="00F24502"/>
    <w:rsid w:val="00F2765E"/>
    <w:rsid w:val="00F30E3A"/>
    <w:rsid w:val="00F34179"/>
    <w:rsid w:val="00F35839"/>
    <w:rsid w:val="00F3656C"/>
    <w:rsid w:val="00F374CA"/>
    <w:rsid w:val="00F447A5"/>
    <w:rsid w:val="00F46D6D"/>
    <w:rsid w:val="00F51342"/>
    <w:rsid w:val="00F53464"/>
    <w:rsid w:val="00F55832"/>
    <w:rsid w:val="00F61E6B"/>
    <w:rsid w:val="00F7181E"/>
    <w:rsid w:val="00F7328A"/>
    <w:rsid w:val="00F77990"/>
    <w:rsid w:val="00F80AF0"/>
    <w:rsid w:val="00F86CF3"/>
    <w:rsid w:val="00F92857"/>
    <w:rsid w:val="00F96AF2"/>
    <w:rsid w:val="00FA19DA"/>
    <w:rsid w:val="00FA1B7D"/>
    <w:rsid w:val="00FA2419"/>
    <w:rsid w:val="00FB2509"/>
    <w:rsid w:val="00FB707F"/>
    <w:rsid w:val="00FC0C50"/>
    <w:rsid w:val="00FC45EB"/>
    <w:rsid w:val="00FC60E6"/>
    <w:rsid w:val="00FD1A85"/>
    <w:rsid w:val="00FD3939"/>
    <w:rsid w:val="00FD4E09"/>
    <w:rsid w:val="00FD709D"/>
    <w:rsid w:val="00FE0CD3"/>
    <w:rsid w:val="00FE0D90"/>
    <w:rsid w:val="00FE266F"/>
    <w:rsid w:val="00FE4A74"/>
    <w:rsid w:val="00FE7161"/>
    <w:rsid w:val="00FE7C04"/>
    <w:rsid w:val="00FF0D43"/>
    <w:rsid w:val="00FF37A5"/>
    <w:rsid w:val="00FF62D7"/>
  </w:rsids>
  <m:mathPr>
    <m:mathFont m:val="Cambria Math"/>
    <m:brkBin m:val="before"/>
    <m:brkBinSub m:val="--"/>
    <m:smallFrac m:val="0"/>
    <m:dispDef/>
    <m:lMargin m:val="0"/>
    <m:rMargin m:val="0"/>
    <m:defJc m:val="centerGroup"/>
    <m:wrapIndent m:val="1440"/>
    <m:intLim m:val="subSup"/>
    <m:naryLim m:val="undOvr"/>
  </m:mathPr>
  <w:themeFontLang w:val="pt-P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315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tulo1">
    <w:name w:val="heading 1"/>
    <w:basedOn w:val="Normal"/>
    <w:next w:val="Normal"/>
    <w:link w:val="Ttulo1Carter"/>
    <w:uiPriority w:val="9"/>
    <w:qFormat/>
    <w:rsid w:val="002E1A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ter"/>
    <w:uiPriority w:val="9"/>
    <w:semiHidden/>
    <w:unhideWhenUsed/>
    <w:qFormat/>
    <w:rsid w:val="002E1A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ter"/>
    <w:uiPriority w:val="9"/>
    <w:unhideWhenUsed/>
    <w:qFormat/>
    <w:rsid w:val="002E1A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link w:val="DefaultCarter"/>
    <w:rsid w:val="00533D9D"/>
    <w:pPr>
      <w:autoSpaceDE w:val="0"/>
      <w:autoSpaceDN w:val="0"/>
      <w:adjustRightInd w:val="0"/>
      <w:spacing w:after="0" w:line="240" w:lineRule="auto"/>
    </w:pPr>
    <w:rPr>
      <w:rFonts w:ascii="Trebuchet MS" w:hAnsi="Trebuchet MS" w:cs="Trebuchet MS"/>
      <w:color w:val="000000"/>
      <w:sz w:val="24"/>
      <w:szCs w:val="24"/>
    </w:rPr>
  </w:style>
  <w:style w:type="paragraph" w:styleId="Textodenotaderodap">
    <w:name w:val="footnote text"/>
    <w:aliases w:val="Tekst przypisu,Fußnote,Schriftart: 9 pt,Schriftart: 10 pt,Schriftart: 8 pt,WB-Fußnotentext,Footnote Text Char2,Footnote Text Char1 Char,Footnote Text Char2 Char Char,Footnote Text Char1 Char Char Char"/>
    <w:basedOn w:val="Normal"/>
    <w:link w:val="TextodenotaderodapCarter"/>
    <w:uiPriority w:val="99"/>
    <w:unhideWhenUsed/>
    <w:qFormat/>
    <w:rsid w:val="00EB4EAD"/>
    <w:pPr>
      <w:spacing w:after="0" w:line="240" w:lineRule="auto"/>
    </w:pPr>
    <w:rPr>
      <w:sz w:val="20"/>
      <w:szCs w:val="20"/>
    </w:rPr>
  </w:style>
  <w:style w:type="character" w:customStyle="1" w:styleId="TextodenotaderodapCarter">
    <w:name w:val="Texto de nota de rodapé Caráter"/>
    <w:aliases w:val="Tekst przypisu Caráter,Fußnote Caráter,Schriftart: 9 pt Caráter,Schriftart: 10 pt Caráter,Schriftart: 8 pt Caráter,WB-Fußnotentext Caráter,Footnote Text Char2 Caráter,Footnote Text Char1 Char Caráter"/>
    <w:basedOn w:val="Tipodeletrapredefinidodopargrafo"/>
    <w:link w:val="Textodenotaderodap"/>
    <w:uiPriority w:val="99"/>
    <w:rsid w:val="00EB4EAD"/>
    <w:rPr>
      <w:sz w:val="20"/>
      <w:szCs w:val="20"/>
    </w:rPr>
  </w:style>
  <w:style w:type="character" w:styleId="Refdenotaderodap">
    <w:name w:val="footnote reference"/>
    <w:aliases w:val="Odwołanie przypisu,ESPON Footnote No,Footnote"/>
    <w:basedOn w:val="Tipodeletrapredefinidodopargrafo"/>
    <w:uiPriority w:val="99"/>
    <w:unhideWhenUsed/>
    <w:rsid w:val="00EB4EAD"/>
    <w:rPr>
      <w:vertAlign w:val="superscript"/>
    </w:rPr>
  </w:style>
  <w:style w:type="character" w:styleId="Hiperligao">
    <w:name w:val="Hyperlink"/>
    <w:basedOn w:val="Tipodeletrapredefinidodopargrafo"/>
    <w:uiPriority w:val="99"/>
    <w:unhideWhenUsed/>
    <w:rsid w:val="006D27D2"/>
    <w:rPr>
      <w:color w:val="0563C1" w:themeColor="hyperlink"/>
      <w:u w:val="single"/>
    </w:rPr>
  </w:style>
  <w:style w:type="character" w:styleId="Hiperligaovisitada">
    <w:name w:val="FollowedHyperlink"/>
    <w:basedOn w:val="Tipodeletrapredefinidodopargrafo"/>
    <w:uiPriority w:val="99"/>
    <w:semiHidden/>
    <w:unhideWhenUsed/>
    <w:rsid w:val="006D27D2"/>
    <w:rPr>
      <w:color w:val="954F72" w:themeColor="followedHyperlink"/>
      <w:u w:val="single"/>
    </w:rPr>
  </w:style>
  <w:style w:type="paragraph" w:styleId="PargrafodaLista">
    <w:name w:val="List Paragraph"/>
    <w:aliases w:val="Párrafo de lista - cat,2 heading"/>
    <w:basedOn w:val="Normal"/>
    <w:link w:val="PargrafodaListaCarter"/>
    <w:qFormat/>
    <w:rsid w:val="00867289"/>
    <w:pPr>
      <w:ind w:left="720"/>
      <w:contextualSpacing/>
    </w:pPr>
  </w:style>
  <w:style w:type="character" w:styleId="Refdecomentrio">
    <w:name w:val="annotation reference"/>
    <w:basedOn w:val="Tipodeletrapredefinidodopargrafo"/>
    <w:uiPriority w:val="99"/>
    <w:semiHidden/>
    <w:unhideWhenUsed/>
    <w:rsid w:val="001C6425"/>
    <w:rPr>
      <w:sz w:val="16"/>
      <w:szCs w:val="16"/>
    </w:rPr>
  </w:style>
  <w:style w:type="paragraph" w:styleId="Textodecomentrio">
    <w:name w:val="annotation text"/>
    <w:basedOn w:val="Normal"/>
    <w:link w:val="TextodecomentrioCarter"/>
    <w:uiPriority w:val="99"/>
    <w:unhideWhenUsed/>
    <w:rsid w:val="001C6425"/>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1C6425"/>
    <w:rPr>
      <w:sz w:val="20"/>
      <w:szCs w:val="20"/>
    </w:rPr>
  </w:style>
  <w:style w:type="paragraph" w:styleId="Assuntodecomentrio">
    <w:name w:val="annotation subject"/>
    <w:basedOn w:val="Textodecomentrio"/>
    <w:next w:val="Textodecomentrio"/>
    <w:link w:val="AssuntodecomentrioCarter"/>
    <w:uiPriority w:val="99"/>
    <w:semiHidden/>
    <w:unhideWhenUsed/>
    <w:rsid w:val="001C6425"/>
    <w:rPr>
      <w:b/>
      <w:bCs/>
    </w:rPr>
  </w:style>
  <w:style w:type="character" w:customStyle="1" w:styleId="AssuntodecomentrioCarter">
    <w:name w:val="Assunto de comentário Caráter"/>
    <w:basedOn w:val="TextodecomentrioCarter"/>
    <w:link w:val="Assuntodecomentrio"/>
    <w:uiPriority w:val="99"/>
    <w:semiHidden/>
    <w:rsid w:val="001C6425"/>
    <w:rPr>
      <w:b/>
      <w:bCs/>
      <w:sz w:val="20"/>
      <w:szCs w:val="20"/>
    </w:rPr>
  </w:style>
  <w:style w:type="paragraph" w:styleId="Textodebalo">
    <w:name w:val="Balloon Text"/>
    <w:basedOn w:val="Normal"/>
    <w:link w:val="TextodebaloCarter"/>
    <w:uiPriority w:val="99"/>
    <w:semiHidden/>
    <w:unhideWhenUsed/>
    <w:rsid w:val="001C6425"/>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1C6425"/>
    <w:rPr>
      <w:rFonts w:ascii="Segoe UI" w:hAnsi="Segoe UI" w:cs="Segoe UI"/>
      <w:sz w:val="18"/>
      <w:szCs w:val="18"/>
    </w:rPr>
  </w:style>
  <w:style w:type="paragraph" w:styleId="Reviso">
    <w:name w:val="Revision"/>
    <w:hidden/>
    <w:uiPriority w:val="99"/>
    <w:semiHidden/>
    <w:rsid w:val="008A057D"/>
    <w:pPr>
      <w:spacing w:after="0" w:line="240" w:lineRule="auto"/>
    </w:pPr>
  </w:style>
  <w:style w:type="paragraph" w:customStyle="1" w:styleId="pf0">
    <w:name w:val="pf0"/>
    <w:basedOn w:val="Normal"/>
    <w:rsid w:val="00C94728"/>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cf01">
    <w:name w:val="cf01"/>
    <w:basedOn w:val="Tipodeletrapredefinidodopargrafo"/>
    <w:rsid w:val="00C94728"/>
    <w:rPr>
      <w:rFonts w:ascii="Segoe UI" w:hAnsi="Segoe UI" w:cs="Segoe UI" w:hint="default"/>
      <w:sz w:val="18"/>
      <w:szCs w:val="18"/>
    </w:rPr>
  </w:style>
  <w:style w:type="paragraph" w:styleId="SemEspaamento">
    <w:name w:val="No Spacing"/>
    <w:aliases w:val="Parágrafo"/>
    <w:uiPriority w:val="1"/>
    <w:qFormat/>
    <w:rsid w:val="00A47990"/>
    <w:pPr>
      <w:spacing w:after="0" w:line="240" w:lineRule="auto"/>
    </w:pPr>
  </w:style>
  <w:style w:type="table" w:styleId="TabelacomGrelha">
    <w:name w:val="Table Grid"/>
    <w:basedOn w:val="Tabelanormal"/>
    <w:uiPriority w:val="39"/>
    <w:rsid w:val="00B8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1"/>
    <w:basedOn w:val="Default"/>
    <w:link w:val="Head1Carter"/>
    <w:qFormat/>
    <w:rsid w:val="005F2029"/>
    <w:pPr>
      <w:snapToGrid w:val="0"/>
      <w:spacing w:before="480" w:after="360"/>
      <w:jc w:val="both"/>
    </w:pPr>
    <w:rPr>
      <w:rFonts w:ascii="Gadugi" w:hAnsi="Gadugi" w:cstheme="minorHAnsi"/>
      <w:b/>
      <w:bCs/>
      <w:color w:val="2E74B5" w:themeColor="accent1" w:themeShade="BF"/>
      <w:sz w:val="28"/>
      <w:szCs w:val="28"/>
      <w:lang w:val="en-GB"/>
    </w:rPr>
  </w:style>
  <w:style w:type="paragraph" w:customStyle="1" w:styleId="Head">
    <w:name w:val="Head"/>
    <w:basedOn w:val="Default"/>
    <w:link w:val="HeadCarter"/>
    <w:qFormat/>
    <w:rsid w:val="00D810FB"/>
    <w:pPr>
      <w:snapToGrid w:val="0"/>
      <w:spacing w:after="120" w:line="288" w:lineRule="auto"/>
      <w:jc w:val="both"/>
    </w:pPr>
    <w:rPr>
      <w:rFonts w:asciiTheme="minorHAnsi" w:hAnsiTheme="minorHAnsi" w:cstheme="minorHAnsi"/>
      <w:b/>
      <w:bCs/>
      <w:color w:val="1F3864" w:themeColor="accent5" w:themeShade="80"/>
      <w:sz w:val="28"/>
      <w:szCs w:val="28"/>
      <w:lang w:val="en-GB"/>
    </w:rPr>
  </w:style>
  <w:style w:type="character" w:customStyle="1" w:styleId="DefaultCarter">
    <w:name w:val="Default Caráter"/>
    <w:basedOn w:val="Tipodeletrapredefinidodopargrafo"/>
    <w:link w:val="Default"/>
    <w:rsid w:val="00D810FB"/>
    <w:rPr>
      <w:rFonts w:ascii="Trebuchet MS" w:hAnsi="Trebuchet MS" w:cs="Trebuchet MS"/>
      <w:color w:val="000000"/>
      <w:sz w:val="24"/>
      <w:szCs w:val="24"/>
    </w:rPr>
  </w:style>
  <w:style w:type="character" w:customStyle="1" w:styleId="Head1Carter">
    <w:name w:val="Head1 Caráter"/>
    <w:basedOn w:val="DefaultCarter"/>
    <w:link w:val="Head1"/>
    <w:rsid w:val="005F2029"/>
    <w:rPr>
      <w:rFonts w:ascii="Gadugi" w:hAnsi="Gadugi" w:cstheme="minorHAnsi"/>
      <w:b/>
      <w:bCs/>
      <w:color w:val="2E74B5" w:themeColor="accent1" w:themeShade="BF"/>
      <w:sz w:val="28"/>
      <w:szCs w:val="28"/>
      <w:lang w:val="en-GB"/>
    </w:rPr>
  </w:style>
  <w:style w:type="paragraph" w:customStyle="1" w:styleId="Head3">
    <w:name w:val="Head3"/>
    <w:basedOn w:val="Default"/>
    <w:link w:val="Head3Carter"/>
    <w:qFormat/>
    <w:rsid w:val="00F51342"/>
    <w:pPr>
      <w:snapToGrid w:val="0"/>
      <w:spacing w:before="360" w:after="120" w:line="288" w:lineRule="auto"/>
      <w:jc w:val="both"/>
    </w:pPr>
    <w:rPr>
      <w:rFonts w:asciiTheme="minorHAnsi" w:hAnsiTheme="minorHAnsi" w:cstheme="minorHAnsi"/>
      <w:b/>
      <w:bCs/>
      <w:i/>
      <w:color w:val="1F3864" w:themeColor="accent5" w:themeShade="80"/>
      <w:lang w:val="en-GB"/>
    </w:rPr>
  </w:style>
  <w:style w:type="character" w:customStyle="1" w:styleId="HeadCarter">
    <w:name w:val="Head Caráter"/>
    <w:basedOn w:val="DefaultCarter"/>
    <w:link w:val="Head"/>
    <w:rsid w:val="00D810FB"/>
    <w:rPr>
      <w:rFonts w:ascii="Trebuchet MS" w:hAnsi="Trebuchet MS" w:cstheme="minorHAnsi"/>
      <w:b/>
      <w:bCs/>
      <w:color w:val="1F3864" w:themeColor="accent5" w:themeShade="80"/>
      <w:sz w:val="28"/>
      <w:szCs w:val="28"/>
      <w:lang w:val="en-GB"/>
    </w:rPr>
  </w:style>
  <w:style w:type="character" w:customStyle="1" w:styleId="PargrafodaListaCarter">
    <w:name w:val="Parágrafo da Lista Caráter"/>
    <w:aliases w:val="Párrafo de lista - cat Caráter,2 heading Caráter"/>
    <w:link w:val="PargrafodaLista"/>
    <w:rsid w:val="00AE0E0B"/>
  </w:style>
  <w:style w:type="character" w:customStyle="1" w:styleId="Head3Carter">
    <w:name w:val="Head3 Caráter"/>
    <w:basedOn w:val="DefaultCarter"/>
    <w:link w:val="Head3"/>
    <w:rsid w:val="00F51342"/>
    <w:rPr>
      <w:rFonts w:ascii="Trebuchet MS" w:hAnsi="Trebuchet MS" w:cstheme="minorHAnsi"/>
      <w:b/>
      <w:bCs/>
      <w:i/>
      <w:color w:val="1F3864" w:themeColor="accent5" w:themeShade="80"/>
      <w:sz w:val="24"/>
      <w:szCs w:val="24"/>
      <w:lang w:val="en-GB"/>
    </w:rPr>
  </w:style>
  <w:style w:type="paragraph" w:styleId="Cabealho">
    <w:name w:val="header"/>
    <w:basedOn w:val="Normal"/>
    <w:link w:val="CabealhoCarter"/>
    <w:uiPriority w:val="99"/>
    <w:unhideWhenUsed/>
    <w:rsid w:val="0010549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05494"/>
  </w:style>
  <w:style w:type="paragraph" w:styleId="Rodap">
    <w:name w:val="footer"/>
    <w:basedOn w:val="Normal"/>
    <w:link w:val="RodapCarter"/>
    <w:uiPriority w:val="99"/>
    <w:unhideWhenUsed/>
    <w:rsid w:val="0010549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05494"/>
  </w:style>
  <w:style w:type="table" w:styleId="TabeladeLista3-Destaque1">
    <w:name w:val="List Table 3 Accent 1"/>
    <w:basedOn w:val="Tabelanormal"/>
    <w:uiPriority w:val="48"/>
    <w:rsid w:val="0040000C"/>
    <w:pPr>
      <w:spacing w:after="0" w:line="240" w:lineRule="auto"/>
    </w:pPr>
    <w:rPr>
      <w:lang w:val="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Theme="minorHAnsi" w:hAnsiTheme="minorHAnsi"/>
        <w:b/>
        <w:bCs/>
        <w:color w:val="FFFFFF" w:themeColor="background1"/>
        <w:sz w:val="24"/>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MenoNoResolvida1">
    <w:name w:val="Menção Não Resolvida1"/>
    <w:basedOn w:val="Tipodeletrapredefinidodopargrafo"/>
    <w:uiPriority w:val="99"/>
    <w:semiHidden/>
    <w:unhideWhenUsed/>
    <w:rsid w:val="0040000C"/>
    <w:rPr>
      <w:color w:val="605E5C"/>
      <w:shd w:val="clear" w:color="auto" w:fill="E1DFDD"/>
    </w:rPr>
  </w:style>
  <w:style w:type="character" w:customStyle="1" w:styleId="Ttulo1Carter">
    <w:name w:val="Título 1 Caráter"/>
    <w:basedOn w:val="Tipodeletrapredefinidodopargrafo"/>
    <w:link w:val="Ttulo1"/>
    <w:uiPriority w:val="9"/>
    <w:rsid w:val="002E1A58"/>
    <w:rPr>
      <w:rFonts w:asciiTheme="majorHAnsi" w:eastAsiaTheme="majorEastAsia" w:hAnsiTheme="majorHAnsi" w:cstheme="majorBidi"/>
      <w:color w:val="2E74B5" w:themeColor="accent1" w:themeShade="BF"/>
      <w:sz w:val="32"/>
      <w:szCs w:val="32"/>
    </w:rPr>
  </w:style>
  <w:style w:type="paragraph" w:styleId="ndice1">
    <w:name w:val="toc 1"/>
    <w:basedOn w:val="Normal"/>
    <w:next w:val="Normal"/>
    <w:autoRedefine/>
    <w:uiPriority w:val="39"/>
    <w:unhideWhenUsed/>
    <w:rsid w:val="002E1A58"/>
    <w:pPr>
      <w:spacing w:after="100"/>
    </w:pPr>
  </w:style>
  <w:style w:type="character" w:customStyle="1" w:styleId="Ttulo2Carter">
    <w:name w:val="Título 2 Caráter"/>
    <w:basedOn w:val="Tipodeletrapredefinidodopargrafo"/>
    <w:link w:val="Ttulo2"/>
    <w:uiPriority w:val="9"/>
    <w:semiHidden/>
    <w:rsid w:val="002E1A58"/>
    <w:rPr>
      <w:rFonts w:asciiTheme="majorHAnsi" w:eastAsiaTheme="majorEastAsia" w:hAnsiTheme="majorHAnsi" w:cstheme="majorBidi"/>
      <w:color w:val="2E74B5" w:themeColor="accent1" w:themeShade="BF"/>
      <w:sz w:val="26"/>
      <w:szCs w:val="26"/>
    </w:rPr>
  </w:style>
  <w:style w:type="character" w:customStyle="1" w:styleId="Ttulo3Carter">
    <w:name w:val="Título 3 Caráter"/>
    <w:basedOn w:val="Tipodeletrapredefinidodopargrafo"/>
    <w:link w:val="Ttulo3"/>
    <w:uiPriority w:val="9"/>
    <w:rsid w:val="002E1A58"/>
    <w:rPr>
      <w:rFonts w:asciiTheme="majorHAnsi" w:eastAsiaTheme="majorEastAsia" w:hAnsiTheme="majorHAnsi" w:cstheme="majorBidi"/>
      <w:color w:val="1F4D78" w:themeColor="accent1" w:themeShade="7F"/>
      <w:sz w:val="24"/>
      <w:szCs w:val="24"/>
    </w:rPr>
  </w:style>
  <w:style w:type="paragraph" w:styleId="ndice2">
    <w:name w:val="toc 2"/>
    <w:basedOn w:val="Normal"/>
    <w:next w:val="Normal"/>
    <w:autoRedefine/>
    <w:uiPriority w:val="39"/>
    <w:unhideWhenUsed/>
    <w:rsid w:val="002E1A58"/>
    <w:pPr>
      <w:spacing w:after="100"/>
      <w:ind w:left="220"/>
    </w:pPr>
  </w:style>
  <w:style w:type="paragraph" w:styleId="ndice3">
    <w:name w:val="toc 3"/>
    <w:basedOn w:val="Normal"/>
    <w:next w:val="Normal"/>
    <w:autoRedefine/>
    <w:uiPriority w:val="39"/>
    <w:unhideWhenUsed/>
    <w:rsid w:val="002E1A58"/>
    <w:pPr>
      <w:spacing w:after="100"/>
      <w:ind w:left="440"/>
    </w:pPr>
  </w:style>
  <w:style w:type="paragraph" w:styleId="Data">
    <w:name w:val="Date"/>
    <w:basedOn w:val="Normal"/>
    <w:next w:val="Normal"/>
    <w:link w:val="DataCarter"/>
    <w:uiPriority w:val="99"/>
    <w:semiHidden/>
    <w:unhideWhenUsed/>
    <w:rsid w:val="00BF0466"/>
  </w:style>
  <w:style w:type="character" w:customStyle="1" w:styleId="DataCarter">
    <w:name w:val="Data Caráter"/>
    <w:basedOn w:val="Tipodeletrapredefinidodopargrafo"/>
    <w:link w:val="Data"/>
    <w:uiPriority w:val="99"/>
    <w:semiHidden/>
    <w:rsid w:val="00BF0466"/>
  </w:style>
  <w:style w:type="paragraph" w:customStyle="1" w:styleId="Head2">
    <w:name w:val="Head2"/>
    <w:basedOn w:val="Normal"/>
    <w:qFormat/>
    <w:rsid w:val="005F2029"/>
    <w:pPr>
      <w:keepNext/>
      <w:tabs>
        <w:tab w:val="left" w:pos="567"/>
      </w:tabs>
      <w:autoSpaceDE w:val="0"/>
      <w:autoSpaceDN w:val="0"/>
      <w:adjustRightInd w:val="0"/>
      <w:spacing w:before="480" w:after="360" w:line="240" w:lineRule="auto"/>
      <w:ind w:left="431" w:hanging="431"/>
    </w:pPr>
    <w:rPr>
      <w:rFonts w:ascii="Calibri" w:eastAsiaTheme="minorEastAsia" w:hAnsi="Calibri" w:cs="Calibri"/>
      <w:b/>
      <w:color w:val="1F3864" w:themeColor="accent5" w:themeShade="80"/>
      <w:sz w:val="28"/>
      <w:szCs w:val="28"/>
    </w:rPr>
  </w:style>
  <w:style w:type="paragraph" w:styleId="NormalWeb">
    <w:name w:val="Normal (Web)"/>
    <w:basedOn w:val="Normal"/>
    <w:uiPriority w:val="99"/>
    <w:unhideWhenUsed/>
    <w:rsid w:val="00C661D8"/>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Forte">
    <w:name w:val="Strong"/>
    <w:basedOn w:val="Tipodeletrapredefinidodopargrafo"/>
    <w:uiPriority w:val="22"/>
    <w:qFormat/>
    <w:rsid w:val="00FE0CD3"/>
    <w:rPr>
      <w:b/>
      <w:bCs/>
    </w:rPr>
  </w:style>
  <w:style w:type="character" w:customStyle="1" w:styleId="w8qarf">
    <w:name w:val="w8qarf"/>
    <w:basedOn w:val="Tipodeletrapredefinidodopargrafo"/>
    <w:rsid w:val="00E622CA"/>
  </w:style>
  <w:style w:type="character" w:customStyle="1" w:styleId="lrzxr">
    <w:name w:val="lrzxr"/>
    <w:basedOn w:val="Tipodeletrapredefinidodopargrafo"/>
    <w:rsid w:val="00E622CA"/>
  </w:style>
  <w:style w:type="character" w:customStyle="1" w:styleId="UnresolvedMention1">
    <w:name w:val="Unresolved Mention1"/>
    <w:basedOn w:val="Tipodeletrapredefinidodopargrafo"/>
    <w:uiPriority w:val="99"/>
    <w:semiHidden/>
    <w:unhideWhenUsed/>
    <w:rsid w:val="001D4CB7"/>
    <w:rPr>
      <w:color w:val="605E5C"/>
      <w:shd w:val="clear" w:color="auto" w:fill="E1DFDD"/>
    </w:rPr>
  </w:style>
  <w:style w:type="paragraph" w:styleId="Corpodetexto2">
    <w:name w:val="Body Text 2"/>
    <w:basedOn w:val="Normal"/>
    <w:link w:val="Corpodetexto2Carter1"/>
    <w:uiPriority w:val="99"/>
    <w:rsid w:val="00861EE3"/>
    <w:pPr>
      <w:spacing w:after="120" w:line="480" w:lineRule="auto"/>
    </w:pPr>
    <w:rPr>
      <w:rFonts w:ascii="Arial" w:eastAsia="Times New Roman" w:hAnsi="Arial" w:cs="Times New Roman"/>
      <w:sz w:val="18"/>
      <w:szCs w:val="20"/>
    </w:rPr>
  </w:style>
  <w:style w:type="character" w:customStyle="1" w:styleId="Corpodetexto2Carter">
    <w:name w:val="Corpo de texto 2 Caráter"/>
    <w:basedOn w:val="Tipodeletrapredefinidodopargrafo"/>
    <w:uiPriority w:val="99"/>
    <w:semiHidden/>
    <w:rsid w:val="00861EE3"/>
  </w:style>
  <w:style w:type="character" w:customStyle="1" w:styleId="Corpodetexto2Carter1">
    <w:name w:val="Corpo de texto 2 Caráter1"/>
    <w:link w:val="Corpodetexto2"/>
    <w:uiPriority w:val="99"/>
    <w:locked/>
    <w:rsid w:val="00861EE3"/>
    <w:rPr>
      <w:rFonts w:ascii="Arial" w:eastAsia="Times New Roman" w:hAnsi="Arial" w:cs="Times New Roman"/>
      <w:sz w:val="18"/>
      <w:szCs w:val="20"/>
    </w:rPr>
  </w:style>
  <w:style w:type="paragraph" w:styleId="Corpodetexto">
    <w:name w:val="Body Text"/>
    <w:basedOn w:val="Normal"/>
    <w:link w:val="CorpodetextoCarter"/>
    <w:semiHidden/>
    <w:unhideWhenUsed/>
    <w:rsid w:val="00861EE3"/>
    <w:pPr>
      <w:spacing w:before="120" w:after="120" w:line="276" w:lineRule="auto"/>
      <w:ind w:left="1418" w:right="339"/>
      <w:jc w:val="both"/>
    </w:pPr>
    <w:rPr>
      <w:rFonts w:ascii="Verdana" w:eastAsia="Times New Roman" w:hAnsi="Verdana" w:cs="Times New Roman"/>
      <w:sz w:val="20"/>
      <w:szCs w:val="20"/>
      <w:lang w:val="de-AT"/>
    </w:rPr>
  </w:style>
  <w:style w:type="character" w:customStyle="1" w:styleId="CorpodetextoCarter">
    <w:name w:val="Corpo de texto Caráter"/>
    <w:basedOn w:val="Tipodeletrapredefinidodopargrafo"/>
    <w:link w:val="Corpodetexto"/>
    <w:semiHidden/>
    <w:rsid w:val="00861EE3"/>
    <w:rPr>
      <w:rFonts w:ascii="Verdana" w:eastAsia="Times New Roman" w:hAnsi="Verdana" w:cs="Times New Roman"/>
      <w:sz w:val="20"/>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92751">
      <w:bodyDiv w:val="1"/>
      <w:marLeft w:val="0"/>
      <w:marRight w:val="0"/>
      <w:marTop w:val="0"/>
      <w:marBottom w:val="0"/>
      <w:divBdr>
        <w:top w:val="none" w:sz="0" w:space="0" w:color="auto"/>
        <w:left w:val="none" w:sz="0" w:space="0" w:color="auto"/>
        <w:bottom w:val="none" w:sz="0" w:space="0" w:color="auto"/>
        <w:right w:val="none" w:sz="0" w:space="0" w:color="auto"/>
      </w:divBdr>
    </w:div>
    <w:div w:id="204947301">
      <w:bodyDiv w:val="1"/>
      <w:marLeft w:val="0"/>
      <w:marRight w:val="0"/>
      <w:marTop w:val="0"/>
      <w:marBottom w:val="0"/>
      <w:divBdr>
        <w:top w:val="none" w:sz="0" w:space="0" w:color="auto"/>
        <w:left w:val="none" w:sz="0" w:space="0" w:color="auto"/>
        <w:bottom w:val="none" w:sz="0" w:space="0" w:color="auto"/>
        <w:right w:val="none" w:sz="0" w:space="0" w:color="auto"/>
      </w:divBdr>
    </w:div>
    <w:div w:id="586691731">
      <w:bodyDiv w:val="1"/>
      <w:marLeft w:val="0"/>
      <w:marRight w:val="0"/>
      <w:marTop w:val="0"/>
      <w:marBottom w:val="0"/>
      <w:divBdr>
        <w:top w:val="none" w:sz="0" w:space="0" w:color="auto"/>
        <w:left w:val="none" w:sz="0" w:space="0" w:color="auto"/>
        <w:bottom w:val="none" w:sz="0" w:space="0" w:color="auto"/>
        <w:right w:val="none" w:sz="0" w:space="0" w:color="auto"/>
      </w:divBdr>
    </w:div>
    <w:div w:id="681590132">
      <w:bodyDiv w:val="1"/>
      <w:marLeft w:val="0"/>
      <w:marRight w:val="0"/>
      <w:marTop w:val="0"/>
      <w:marBottom w:val="0"/>
      <w:divBdr>
        <w:top w:val="none" w:sz="0" w:space="0" w:color="auto"/>
        <w:left w:val="none" w:sz="0" w:space="0" w:color="auto"/>
        <w:bottom w:val="none" w:sz="0" w:space="0" w:color="auto"/>
        <w:right w:val="none" w:sz="0" w:space="0" w:color="auto"/>
      </w:divBdr>
    </w:div>
    <w:div w:id="877548906">
      <w:bodyDiv w:val="1"/>
      <w:marLeft w:val="0"/>
      <w:marRight w:val="0"/>
      <w:marTop w:val="0"/>
      <w:marBottom w:val="0"/>
      <w:divBdr>
        <w:top w:val="none" w:sz="0" w:space="0" w:color="auto"/>
        <w:left w:val="none" w:sz="0" w:space="0" w:color="auto"/>
        <w:bottom w:val="none" w:sz="0" w:space="0" w:color="auto"/>
        <w:right w:val="none" w:sz="0" w:space="0" w:color="auto"/>
      </w:divBdr>
    </w:div>
    <w:div w:id="1077019907">
      <w:bodyDiv w:val="1"/>
      <w:marLeft w:val="0"/>
      <w:marRight w:val="0"/>
      <w:marTop w:val="0"/>
      <w:marBottom w:val="0"/>
      <w:divBdr>
        <w:top w:val="none" w:sz="0" w:space="0" w:color="auto"/>
        <w:left w:val="none" w:sz="0" w:space="0" w:color="auto"/>
        <w:bottom w:val="none" w:sz="0" w:space="0" w:color="auto"/>
        <w:right w:val="none" w:sz="0" w:space="0" w:color="auto"/>
      </w:divBdr>
    </w:div>
    <w:div w:id="1228954524">
      <w:bodyDiv w:val="1"/>
      <w:marLeft w:val="0"/>
      <w:marRight w:val="0"/>
      <w:marTop w:val="0"/>
      <w:marBottom w:val="0"/>
      <w:divBdr>
        <w:top w:val="none" w:sz="0" w:space="0" w:color="auto"/>
        <w:left w:val="none" w:sz="0" w:space="0" w:color="auto"/>
        <w:bottom w:val="none" w:sz="0" w:space="0" w:color="auto"/>
        <w:right w:val="none" w:sz="0" w:space="0" w:color="auto"/>
      </w:divBdr>
    </w:div>
    <w:div w:id="1424036626">
      <w:bodyDiv w:val="1"/>
      <w:marLeft w:val="0"/>
      <w:marRight w:val="0"/>
      <w:marTop w:val="0"/>
      <w:marBottom w:val="0"/>
      <w:divBdr>
        <w:top w:val="none" w:sz="0" w:space="0" w:color="auto"/>
        <w:left w:val="none" w:sz="0" w:space="0" w:color="auto"/>
        <w:bottom w:val="none" w:sz="0" w:space="0" w:color="auto"/>
        <w:right w:val="none" w:sz="0" w:space="0" w:color="auto"/>
      </w:divBdr>
    </w:div>
    <w:div w:id="1479028320">
      <w:bodyDiv w:val="1"/>
      <w:marLeft w:val="0"/>
      <w:marRight w:val="0"/>
      <w:marTop w:val="0"/>
      <w:marBottom w:val="0"/>
      <w:divBdr>
        <w:top w:val="none" w:sz="0" w:space="0" w:color="auto"/>
        <w:left w:val="none" w:sz="0" w:space="0" w:color="auto"/>
        <w:bottom w:val="none" w:sz="0" w:space="0" w:color="auto"/>
        <w:right w:val="none" w:sz="0" w:space="0" w:color="auto"/>
      </w:divBdr>
    </w:div>
    <w:div w:id="1599682318">
      <w:bodyDiv w:val="1"/>
      <w:marLeft w:val="0"/>
      <w:marRight w:val="0"/>
      <w:marTop w:val="0"/>
      <w:marBottom w:val="0"/>
      <w:divBdr>
        <w:top w:val="none" w:sz="0" w:space="0" w:color="auto"/>
        <w:left w:val="none" w:sz="0" w:space="0" w:color="auto"/>
        <w:bottom w:val="none" w:sz="0" w:space="0" w:color="auto"/>
        <w:right w:val="none" w:sz="0" w:space="0" w:color="auto"/>
      </w:divBdr>
    </w:div>
    <w:div w:id="1622491894">
      <w:bodyDiv w:val="1"/>
      <w:marLeft w:val="0"/>
      <w:marRight w:val="0"/>
      <w:marTop w:val="0"/>
      <w:marBottom w:val="0"/>
      <w:divBdr>
        <w:top w:val="none" w:sz="0" w:space="0" w:color="auto"/>
        <w:left w:val="none" w:sz="0" w:space="0" w:color="auto"/>
        <w:bottom w:val="none" w:sz="0" w:space="0" w:color="auto"/>
        <w:right w:val="none" w:sz="0" w:space="0" w:color="auto"/>
      </w:divBdr>
    </w:div>
    <w:div w:id="1814323225">
      <w:bodyDiv w:val="1"/>
      <w:marLeft w:val="0"/>
      <w:marRight w:val="0"/>
      <w:marTop w:val="0"/>
      <w:marBottom w:val="0"/>
      <w:divBdr>
        <w:top w:val="none" w:sz="0" w:space="0" w:color="auto"/>
        <w:left w:val="none" w:sz="0" w:space="0" w:color="auto"/>
        <w:bottom w:val="none" w:sz="0" w:space="0" w:color="auto"/>
        <w:right w:val="none" w:sz="0" w:space="0" w:color="auto"/>
      </w:divBdr>
    </w:div>
    <w:div w:id="206197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86344-3CD5-4079-AA8A-880994FA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4409</Words>
  <Characters>23809</Characters>
  <Application>Microsoft Office Word</Application>
  <DocSecurity>0</DocSecurity>
  <Lines>198</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2023-09-18T07:51:00Z</dcterms:created>
  <dcterms:modified xsi:type="dcterms:W3CDTF">2024-01-30T13:07:00Z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0d82bbbf7bed8913b1cc03958d78f8e7622b8e31170863beb51f41afbb5bff8b</vt:lpwstr>
  </property>
</Properties>
</file>